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B9827" w14:textId="77777777" w:rsidR="00D94007" w:rsidRDefault="00D94007" w:rsidP="00245D0D">
      <w:pPr>
        <w:keepNext/>
        <w:keepLines/>
        <w:numPr>
          <w:ilvl w:val="1"/>
          <w:numId w:val="0"/>
        </w:numPr>
        <w:tabs>
          <w:tab w:val="left" w:pos="709"/>
        </w:tabs>
        <w:spacing w:before="0" w:after="113" w:line="235" w:lineRule="auto"/>
        <w:ind w:left="680" w:hanging="680"/>
        <w:jc w:val="center"/>
        <w:outlineLvl w:val="1"/>
        <w:rPr>
          <w:rFonts w:ascii="Arial" w:eastAsia="Times New Roman" w:hAnsi="Arial" w:cs="Times New Roman"/>
          <w:b/>
          <w:bCs/>
          <w:color w:val="000000"/>
          <w:sz w:val="32"/>
          <w:szCs w:val="26"/>
          <w:lang w:val="en-GB" w:eastAsia="en-GB"/>
        </w:rPr>
      </w:pPr>
    </w:p>
    <w:p w14:paraId="638294EE" w14:textId="4C0FDB42" w:rsidR="0042774F" w:rsidRPr="00245D0D" w:rsidRDefault="0042774F" w:rsidP="00245D0D">
      <w:pPr>
        <w:keepNext/>
        <w:keepLines/>
        <w:numPr>
          <w:ilvl w:val="1"/>
          <w:numId w:val="0"/>
        </w:numPr>
        <w:tabs>
          <w:tab w:val="left" w:pos="709"/>
        </w:tabs>
        <w:spacing w:before="0" w:after="113" w:line="235" w:lineRule="auto"/>
        <w:ind w:left="680" w:hanging="680"/>
        <w:jc w:val="center"/>
        <w:outlineLvl w:val="1"/>
        <w:rPr>
          <w:rFonts w:ascii="Arial" w:eastAsia="Times New Roman" w:hAnsi="Arial" w:cs="Times New Roman"/>
          <w:b/>
          <w:bCs/>
          <w:color w:val="000000"/>
          <w:sz w:val="32"/>
          <w:szCs w:val="26"/>
          <w:lang w:val="en-GB" w:eastAsia="en-GB"/>
        </w:rPr>
      </w:pPr>
      <w:r w:rsidRPr="00245D0D">
        <w:rPr>
          <w:rFonts w:ascii="Arial" w:eastAsia="Times New Roman" w:hAnsi="Arial" w:cs="Times New Roman"/>
          <w:b/>
          <w:bCs/>
          <w:color w:val="000000"/>
          <w:sz w:val="32"/>
          <w:szCs w:val="26"/>
          <w:lang w:val="en-GB" w:eastAsia="en-GB"/>
        </w:rPr>
        <w:t>MS Amlin Investment Management Limited</w:t>
      </w:r>
      <w:r w:rsidR="000E6BCF">
        <w:rPr>
          <w:rFonts w:ascii="Arial" w:eastAsia="Times New Roman" w:hAnsi="Arial" w:cs="Times New Roman"/>
          <w:b/>
          <w:bCs/>
          <w:color w:val="000000"/>
          <w:sz w:val="32"/>
          <w:szCs w:val="26"/>
          <w:lang w:val="en-GB" w:eastAsia="en-GB"/>
        </w:rPr>
        <w:t xml:space="preserve"> (MS A</w:t>
      </w:r>
      <w:r w:rsidR="00F75DD0">
        <w:rPr>
          <w:rFonts w:ascii="Arial" w:eastAsia="Times New Roman" w:hAnsi="Arial" w:cs="Times New Roman"/>
          <w:b/>
          <w:bCs/>
          <w:color w:val="000000"/>
          <w:sz w:val="32"/>
          <w:szCs w:val="26"/>
          <w:lang w:val="en-GB" w:eastAsia="en-GB"/>
        </w:rPr>
        <w:t>IML</w:t>
      </w:r>
      <w:r w:rsidR="000E6BCF">
        <w:rPr>
          <w:rFonts w:ascii="Arial" w:eastAsia="Times New Roman" w:hAnsi="Arial" w:cs="Times New Roman"/>
          <w:b/>
          <w:bCs/>
          <w:color w:val="000000"/>
          <w:sz w:val="32"/>
          <w:szCs w:val="26"/>
          <w:lang w:val="en-GB" w:eastAsia="en-GB"/>
        </w:rPr>
        <w:t>)</w:t>
      </w:r>
    </w:p>
    <w:p w14:paraId="6864412E" w14:textId="0AADDCC7" w:rsidR="0052288C" w:rsidRPr="00245D0D" w:rsidRDefault="00581843" w:rsidP="00245D0D">
      <w:pPr>
        <w:keepNext/>
        <w:keepLines/>
        <w:numPr>
          <w:ilvl w:val="1"/>
          <w:numId w:val="0"/>
        </w:numPr>
        <w:tabs>
          <w:tab w:val="left" w:pos="709"/>
        </w:tabs>
        <w:spacing w:before="0" w:after="113" w:line="235" w:lineRule="auto"/>
        <w:ind w:left="680" w:hanging="680"/>
        <w:jc w:val="center"/>
        <w:outlineLvl w:val="1"/>
        <w:rPr>
          <w:rFonts w:ascii="Arial" w:eastAsia="Times New Roman" w:hAnsi="Arial" w:cs="Times New Roman"/>
          <w:b/>
          <w:bCs/>
          <w:color w:val="000000"/>
          <w:sz w:val="32"/>
          <w:szCs w:val="26"/>
          <w:lang w:val="en-GB" w:eastAsia="en-GB"/>
        </w:rPr>
      </w:pPr>
      <w:r w:rsidRPr="00245D0D">
        <w:rPr>
          <w:rFonts w:ascii="Arial" w:eastAsia="Times New Roman" w:hAnsi="Arial" w:cs="Times New Roman"/>
          <w:b/>
          <w:bCs/>
          <w:color w:val="000000"/>
          <w:sz w:val="32"/>
          <w:szCs w:val="26"/>
          <w:lang w:val="en-GB" w:eastAsia="en-GB"/>
        </w:rPr>
        <w:t>MIFIDPRU 8</w:t>
      </w:r>
      <w:r w:rsidR="00B14084" w:rsidRPr="00245D0D">
        <w:rPr>
          <w:rFonts w:ascii="Arial" w:eastAsia="Times New Roman" w:hAnsi="Arial" w:cs="Times New Roman"/>
          <w:b/>
          <w:bCs/>
          <w:color w:val="000000"/>
          <w:sz w:val="32"/>
          <w:szCs w:val="26"/>
          <w:lang w:val="en-GB" w:eastAsia="en-GB"/>
        </w:rPr>
        <w:t xml:space="preserve"> Disclosure</w:t>
      </w:r>
    </w:p>
    <w:p w14:paraId="1311F2A4" w14:textId="07C3151A" w:rsidR="00245D0D" w:rsidRPr="00245D0D" w:rsidRDefault="00CA0A89" w:rsidP="00245D0D">
      <w:pPr>
        <w:keepNext/>
        <w:keepLines/>
        <w:numPr>
          <w:ilvl w:val="1"/>
          <w:numId w:val="0"/>
        </w:numPr>
        <w:tabs>
          <w:tab w:val="left" w:pos="709"/>
        </w:tabs>
        <w:spacing w:before="0" w:after="113" w:line="235" w:lineRule="auto"/>
        <w:ind w:left="680" w:hanging="680"/>
        <w:jc w:val="center"/>
        <w:outlineLvl w:val="1"/>
        <w:rPr>
          <w:rFonts w:ascii="Arial" w:eastAsia="Times New Roman" w:hAnsi="Arial" w:cs="Times New Roman"/>
          <w:b/>
          <w:bCs/>
          <w:color w:val="000000"/>
          <w:sz w:val="32"/>
          <w:szCs w:val="26"/>
          <w:lang w:val="en-GB" w:eastAsia="en-GB"/>
        </w:rPr>
      </w:pPr>
      <w:r w:rsidRPr="00245D0D">
        <w:rPr>
          <w:rFonts w:ascii="Arial" w:eastAsia="Times New Roman" w:hAnsi="Arial" w:cs="Times New Roman"/>
          <w:b/>
          <w:bCs/>
          <w:color w:val="000000"/>
          <w:sz w:val="32"/>
          <w:szCs w:val="26"/>
          <w:lang w:val="en-GB" w:eastAsia="en-GB"/>
        </w:rPr>
        <w:t xml:space="preserve">As at </w:t>
      </w:r>
      <w:r w:rsidR="005E58AF" w:rsidRPr="00245D0D">
        <w:rPr>
          <w:rFonts w:ascii="Arial" w:eastAsia="Times New Roman" w:hAnsi="Arial" w:cs="Times New Roman"/>
          <w:b/>
          <w:bCs/>
          <w:color w:val="000000"/>
          <w:sz w:val="32"/>
          <w:szCs w:val="26"/>
          <w:lang w:val="en-GB" w:eastAsia="en-GB"/>
        </w:rPr>
        <w:t>31 December 202</w:t>
      </w:r>
      <w:r w:rsidR="00617876">
        <w:rPr>
          <w:rFonts w:ascii="Arial" w:eastAsia="Times New Roman" w:hAnsi="Arial" w:cs="Times New Roman"/>
          <w:b/>
          <w:bCs/>
          <w:color w:val="000000"/>
          <w:sz w:val="32"/>
          <w:szCs w:val="26"/>
          <w:lang w:val="en-GB" w:eastAsia="en-GB"/>
        </w:rPr>
        <w:t>5</w:t>
      </w:r>
    </w:p>
    <w:p w14:paraId="7BC6CB13" w14:textId="0DE5916C" w:rsidR="00FA020B" w:rsidRPr="00245D0D" w:rsidRDefault="00FA020B" w:rsidP="00F501B4">
      <w:pPr>
        <w:pStyle w:val="Heading3"/>
        <w:rPr>
          <w:rFonts w:ascii="Arial" w:eastAsia="Times New Roman" w:hAnsi="Arial" w:cs="Times New Roman"/>
          <w:b/>
          <w:bCs/>
          <w:i w:val="0"/>
          <w:iCs w:val="0"/>
          <w:color w:val="000000"/>
          <w:sz w:val="32"/>
          <w:szCs w:val="26"/>
          <w:lang w:val="en-GB" w:eastAsia="en-GB"/>
        </w:rPr>
      </w:pPr>
      <w:r w:rsidRPr="00245D0D">
        <w:rPr>
          <w:rFonts w:ascii="Arial" w:eastAsia="Times New Roman" w:hAnsi="Arial" w:cs="Times New Roman"/>
          <w:b/>
          <w:bCs/>
          <w:i w:val="0"/>
          <w:iCs w:val="0"/>
          <w:color w:val="000000"/>
          <w:sz w:val="32"/>
          <w:szCs w:val="26"/>
          <w:lang w:val="en-GB" w:eastAsia="en-GB"/>
        </w:rPr>
        <w:t>Introduction</w:t>
      </w:r>
    </w:p>
    <w:p w14:paraId="2B69026E" w14:textId="22D2D44B" w:rsidR="00982389" w:rsidRPr="00B50967" w:rsidRDefault="00982389" w:rsidP="00982389">
      <w:pPr>
        <w:rPr>
          <w:lang w:val="en-GB" w:eastAsia="en-GB"/>
        </w:rPr>
      </w:pPr>
      <w:r w:rsidRPr="00113DD6">
        <w:rPr>
          <w:lang w:val="en-GB" w:eastAsia="en-GB"/>
        </w:rPr>
        <w:t>The Financial Conduct Authority</w:t>
      </w:r>
      <w:r w:rsidRPr="0078626B">
        <w:rPr>
          <w:lang w:val="en-GB" w:eastAsia="en-GB"/>
        </w:rPr>
        <w:t xml:space="preserve"> </w:t>
      </w:r>
      <w:r w:rsidRPr="00B50967">
        <w:rPr>
          <w:lang w:val="en-GB" w:eastAsia="en-GB"/>
        </w:rPr>
        <w:t xml:space="preserve">(“FCA” or “regulator”) in </w:t>
      </w:r>
      <w:r>
        <w:rPr>
          <w:lang w:val="en-GB" w:eastAsia="en-GB"/>
        </w:rPr>
        <w:t xml:space="preserve">the </w:t>
      </w:r>
      <w:r w:rsidRPr="00113DD6">
        <w:rPr>
          <w:lang w:val="en-GB" w:eastAsia="en-GB"/>
        </w:rPr>
        <w:t>Prudential sourcebook</w:t>
      </w:r>
      <w:r>
        <w:rPr>
          <w:lang w:val="en-GB" w:eastAsia="en-GB"/>
        </w:rPr>
        <w:t xml:space="preserve"> </w:t>
      </w:r>
      <w:r w:rsidRPr="00113DD6">
        <w:rPr>
          <w:lang w:val="en-GB" w:eastAsia="en-GB"/>
        </w:rPr>
        <w:t>for MiFID Investment</w:t>
      </w:r>
      <w:r>
        <w:rPr>
          <w:lang w:val="en-GB" w:eastAsia="en-GB"/>
        </w:rPr>
        <w:t xml:space="preserve"> </w:t>
      </w:r>
      <w:r w:rsidRPr="00113DD6">
        <w:rPr>
          <w:lang w:val="en-GB" w:eastAsia="en-GB"/>
        </w:rPr>
        <w:t>Firms</w:t>
      </w:r>
      <w:r>
        <w:rPr>
          <w:lang w:val="en-GB" w:eastAsia="en-GB"/>
        </w:rPr>
        <w:t xml:space="preserve"> in the FCA Handbook (“MIFIDPRU”) </w:t>
      </w:r>
      <w:r w:rsidRPr="00B50967">
        <w:rPr>
          <w:lang w:val="en-GB" w:eastAsia="en-GB"/>
        </w:rPr>
        <w:t xml:space="preserve">sets out the detailed prudential requirements that apply to </w:t>
      </w:r>
      <w:r w:rsidR="00531412">
        <w:rPr>
          <w:lang w:val="en-GB" w:eastAsia="en-GB"/>
        </w:rPr>
        <w:t xml:space="preserve">MS Amlin Investment Management Limited </w:t>
      </w:r>
      <w:r w:rsidR="00200F7D">
        <w:rPr>
          <w:lang w:val="en-GB" w:eastAsia="en-GB"/>
        </w:rPr>
        <w:t>(</w:t>
      </w:r>
      <w:r w:rsidR="00F33C8C">
        <w:rPr>
          <w:lang w:val="en-GB" w:eastAsia="en-GB"/>
        </w:rPr>
        <w:t>“</w:t>
      </w:r>
      <w:r w:rsidR="00531412">
        <w:rPr>
          <w:lang w:val="en-GB" w:eastAsia="en-GB"/>
        </w:rPr>
        <w:t>MS A</w:t>
      </w:r>
      <w:r w:rsidR="00F75DD0">
        <w:rPr>
          <w:lang w:val="en-GB" w:eastAsia="en-GB"/>
        </w:rPr>
        <w:t>IML</w:t>
      </w:r>
      <w:r w:rsidR="00F33C8C">
        <w:rPr>
          <w:lang w:val="en-GB" w:eastAsia="en-GB"/>
        </w:rPr>
        <w:t>” o</w:t>
      </w:r>
      <w:r w:rsidR="001170DA">
        <w:rPr>
          <w:lang w:val="en-GB" w:eastAsia="en-GB"/>
        </w:rPr>
        <w:t>r</w:t>
      </w:r>
      <w:r w:rsidR="00F33C8C">
        <w:rPr>
          <w:lang w:val="en-GB" w:eastAsia="en-GB"/>
        </w:rPr>
        <w:t xml:space="preserve"> the </w:t>
      </w:r>
      <w:r w:rsidR="00A96EBC">
        <w:rPr>
          <w:lang w:val="en-GB" w:eastAsia="en-GB"/>
        </w:rPr>
        <w:t>“Firm”)</w:t>
      </w:r>
      <w:r w:rsidRPr="00B50967">
        <w:rPr>
          <w:lang w:val="en-GB" w:eastAsia="en-GB"/>
        </w:rPr>
        <w:t>. Chapter 8 of MIFIDPRU (“MIFIDPRU 8”</w:t>
      </w:r>
      <w:r w:rsidR="00E37B8A">
        <w:rPr>
          <w:lang w:val="en-GB" w:eastAsia="en-GB"/>
        </w:rPr>
        <w:t xml:space="preserve">) </w:t>
      </w:r>
      <w:r w:rsidRPr="00B50967">
        <w:rPr>
          <w:lang w:val="en-GB" w:eastAsia="en-GB"/>
        </w:rPr>
        <w:t xml:space="preserve">sets out public disclosure </w:t>
      </w:r>
      <w:r>
        <w:rPr>
          <w:lang w:val="en-GB" w:eastAsia="en-GB"/>
        </w:rPr>
        <w:t>rules and guidance</w:t>
      </w:r>
      <w:r w:rsidRPr="00B50967">
        <w:rPr>
          <w:lang w:val="en-GB" w:eastAsia="en-GB"/>
        </w:rPr>
        <w:t xml:space="preserve"> with which the Firm must comply, further to those prudential </w:t>
      </w:r>
      <w:r>
        <w:rPr>
          <w:lang w:val="en-GB" w:eastAsia="en-GB"/>
        </w:rPr>
        <w:t>requirements</w:t>
      </w:r>
      <w:r w:rsidRPr="00B50967">
        <w:rPr>
          <w:lang w:val="en-GB" w:eastAsia="en-GB"/>
        </w:rPr>
        <w:t xml:space="preserve">. </w:t>
      </w:r>
    </w:p>
    <w:p w14:paraId="768EF054" w14:textId="0D26FB78" w:rsidR="00982389" w:rsidRDefault="00531412" w:rsidP="00982389">
      <w:pPr>
        <w:rPr>
          <w:lang w:val="en-GB" w:eastAsia="en-GB"/>
        </w:rPr>
      </w:pPr>
      <w:r>
        <w:rPr>
          <w:lang w:val="en-GB" w:eastAsia="en-GB"/>
        </w:rPr>
        <w:t>MS A</w:t>
      </w:r>
      <w:r w:rsidR="00F75DD0">
        <w:rPr>
          <w:lang w:val="en-GB" w:eastAsia="en-GB"/>
        </w:rPr>
        <w:t>IML</w:t>
      </w:r>
      <w:r w:rsidR="00982389" w:rsidRPr="0078626B">
        <w:rPr>
          <w:lang w:val="en-GB" w:eastAsia="en-GB"/>
        </w:rPr>
        <w:t xml:space="preserve"> is classified under MIFIDPRU as a </w:t>
      </w:r>
      <w:r w:rsidR="00C17A41">
        <w:rPr>
          <w:lang w:val="en-GB" w:eastAsia="en-GB"/>
        </w:rPr>
        <w:t>non-</w:t>
      </w:r>
      <w:r w:rsidR="00982389" w:rsidRPr="0078626B">
        <w:rPr>
          <w:lang w:val="en-GB" w:eastAsia="en-GB"/>
        </w:rPr>
        <w:t>small and non-interconnected</w:t>
      </w:r>
      <w:r w:rsidR="00CB7D06">
        <w:rPr>
          <w:lang w:val="en-GB" w:eastAsia="en-GB"/>
        </w:rPr>
        <w:t xml:space="preserve"> MIFIDPRU</w:t>
      </w:r>
      <w:r w:rsidR="00982389" w:rsidRPr="0078626B">
        <w:rPr>
          <w:lang w:val="en-GB" w:eastAsia="en-GB"/>
        </w:rPr>
        <w:t xml:space="preserve"> investment firm (“</w:t>
      </w:r>
      <w:r w:rsidR="00C17A41">
        <w:rPr>
          <w:lang w:val="en-GB" w:eastAsia="en-GB"/>
        </w:rPr>
        <w:t>Non-</w:t>
      </w:r>
      <w:r w:rsidR="00982389" w:rsidRPr="0078626B">
        <w:rPr>
          <w:lang w:val="en-GB" w:eastAsia="en-GB"/>
        </w:rPr>
        <w:t xml:space="preserve">SNI MIFIDPRU Investment Firm”). As such, the Firm is required by MIFIDPRU 8 to disclose information </w:t>
      </w:r>
      <w:r w:rsidR="00B50E24">
        <w:rPr>
          <w:lang w:val="en-GB" w:eastAsia="en-GB"/>
        </w:rPr>
        <w:t>on the following areas:</w:t>
      </w:r>
    </w:p>
    <w:p w14:paraId="0EE156C6" w14:textId="341A1402" w:rsidR="003C28DA" w:rsidRPr="00DA4A45" w:rsidRDefault="003C28DA" w:rsidP="00B17FDE">
      <w:pPr>
        <w:pStyle w:val="ListParagraph"/>
        <w:numPr>
          <w:ilvl w:val="0"/>
          <w:numId w:val="9"/>
        </w:numPr>
        <w:rPr>
          <w:lang w:val="en-GB" w:eastAsia="en-GB"/>
        </w:rPr>
      </w:pPr>
      <w:r w:rsidRPr="00DA4A45">
        <w:rPr>
          <w:lang w:val="en-GB" w:eastAsia="en-GB"/>
        </w:rPr>
        <w:t>Risk management objectives and policies;</w:t>
      </w:r>
    </w:p>
    <w:p w14:paraId="75CAA498" w14:textId="677E71C2" w:rsidR="003C28DA" w:rsidRPr="00DA4A45" w:rsidRDefault="003C28DA" w:rsidP="00B17FDE">
      <w:pPr>
        <w:pStyle w:val="ListParagraph"/>
        <w:numPr>
          <w:ilvl w:val="0"/>
          <w:numId w:val="9"/>
        </w:numPr>
        <w:rPr>
          <w:lang w:val="en-GB" w:eastAsia="en-GB"/>
        </w:rPr>
      </w:pPr>
      <w:r w:rsidRPr="00DA4A45">
        <w:rPr>
          <w:lang w:val="en-GB" w:eastAsia="en-GB"/>
        </w:rPr>
        <w:t>Governance arrangements;</w:t>
      </w:r>
    </w:p>
    <w:p w14:paraId="7A196409" w14:textId="78DF01EE" w:rsidR="003C28DA" w:rsidRPr="00DA4A45" w:rsidRDefault="003C28DA" w:rsidP="00B17FDE">
      <w:pPr>
        <w:pStyle w:val="ListParagraph"/>
        <w:numPr>
          <w:ilvl w:val="0"/>
          <w:numId w:val="9"/>
        </w:numPr>
        <w:rPr>
          <w:lang w:val="en-GB" w:eastAsia="en-GB"/>
        </w:rPr>
      </w:pPr>
      <w:r w:rsidRPr="00DA4A45">
        <w:rPr>
          <w:lang w:val="en-GB" w:eastAsia="en-GB"/>
        </w:rPr>
        <w:t>Own funds;</w:t>
      </w:r>
    </w:p>
    <w:p w14:paraId="3B1FA12F" w14:textId="1E59FB3A" w:rsidR="003C28DA" w:rsidRPr="00DA4A45" w:rsidRDefault="003C28DA" w:rsidP="00B17FDE">
      <w:pPr>
        <w:pStyle w:val="ListParagraph"/>
        <w:numPr>
          <w:ilvl w:val="0"/>
          <w:numId w:val="9"/>
        </w:numPr>
        <w:rPr>
          <w:lang w:val="en-GB" w:eastAsia="en-GB"/>
        </w:rPr>
      </w:pPr>
      <w:r w:rsidRPr="00DA4A45">
        <w:rPr>
          <w:lang w:val="en-GB" w:eastAsia="en-GB"/>
        </w:rPr>
        <w:t>Own funds requirements; and</w:t>
      </w:r>
    </w:p>
    <w:p w14:paraId="2FC65CAC" w14:textId="7D07ABF8" w:rsidR="003C28DA" w:rsidRPr="00DA4A45" w:rsidRDefault="003C28DA" w:rsidP="00B17FDE">
      <w:pPr>
        <w:pStyle w:val="ListParagraph"/>
        <w:numPr>
          <w:ilvl w:val="0"/>
          <w:numId w:val="9"/>
        </w:numPr>
        <w:rPr>
          <w:lang w:val="en-GB" w:eastAsia="en-GB"/>
        </w:rPr>
      </w:pPr>
      <w:r w:rsidRPr="00DA4A45">
        <w:rPr>
          <w:lang w:val="en-GB" w:eastAsia="en-GB"/>
        </w:rPr>
        <w:t>Remuneration policy and practices.</w:t>
      </w:r>
    </w:p>
    <w:p w14:paraId="6A2473FB" w14:textId="4E80F4C1" w:rsidR="00180F1A" w:rsidRPr="0085426A" w:rsidRDefault="000317EF" w:rsidP="00180F1A">
      <w:pPr>
        <w:jc w:val="both"/>
        <w:rPr>
          <w:lang w:val="en-GB" w:eastAsia="en-GB"/>
        </w:rPr>
      </w:pPr>
      <w:r w:rsidRPr="0085426A">
        <w:rPr>
          <w:lang w:val="en-GB" w:eastAsia="en-GB"/>
        </w:rPr>
        <w:t>The purpose of the</w:t>
      </w:r>
      <w:r w:rsidR="0023405F" w:rsidRPr="0085426A">
        <w:rPr>
          <w:lang w:val="en-GB" w:eastAsia="en-GB"/>
        </w:rPr>
        <w:t>se</w:t>
      </w:r>
      <w:r w:rsidRPr="0085426A">
        <w:rPr>
          <w:lang w:val="en-GB" w:eastAsia="en-GB"/>
        </w:rPr>
        <w:t xml:space="preserve"> </w:t>
      </w:r>
      <w:r w:rsidR="00124FF5" w:rsidRPr="0085426A">
        <w:rPr>
          <w:lang w:val="en-GB" w:eastAsia="en-GB"/>
        </w:rPr>
        <w:t>disclosure</w:t>
      </w:r>
      <w:r w:rsidR="0023405F" w:rsidRPr="0085426A">
        <w:rPr>
          <w:lang w:val="en-GB" w:eastAsia="en-GB"/>
        </w:rPr>
        <w:t>s</w:t>
      </w:r>
      <w:r w:rsidR="00124FF5" w:rsidRPr="0085426A">
        <w:rPr>
          <w:lang w:val="en-GB" w:eastAsia="en-GB"/>
        </w:rPr>
        <w:t xml:space="preserve"> is to give stakeholders and market participants an insight into </w:t>
      </w:r>
      <w:r w:rsidR="002415BA" w:rsidRPr="0085426A">
        <w:rPr>
          <w:lang w:val="en-GB" w:eastAsia="en-GB"/>
        </w:rPr>
        <w:t xml:space="preserve">the </w:t>
      </w:r>
      <w:r w:rsidR="001013D3" w:rsidRPr="0085426A">
        <w:rPr>
          <w:lang w:val="en-GB" w:eastAsia="en-GB"/>
        </w:rPr>
        <w:t>F</w:t>
      </w:r>
      <w:r w:rsidR="00124FF5" w:rsidRPr="0085426A">
        <w:rPr>
          <w:lang w:val="en-GB" w:eastAsia="en-GB"/>
        </w:rPr>
        <w:t>irm</w:t>
      </w:r>
      <w:r w:rsidR="002415BA" w:rsidRPr="0085426A">
        <w:rPr>
          <w:lang w:val="en-GB" w:eastAsia="en-GB"/>
        </w:rPr>
        <w:t>’s culture</w:t>
      </w:r>
      <w:r w:rsidR="00106A65" w:rsidRPr="0085426A">
        <w:rPr>
          <w:lang w:val="en-GB" w:eastAsia="en-GB"/>
        </w:rPr>
        <w:t xml:space="preserve"> </w:t>
      </w:r>
      <w:r w:rsidR="00842DBC" w:rsidRPr="008A35DB">
        <w:rPr>
          <w:lang w:val="en-GB" w:eastAsia="en-GB"/>
        </w:rPr>
        <w:t>a</w:t>
      </w:r>
      <w:r w:rsidR="006B28EF" w:rsidRPr="008A35DB">
        <w:rPr>
          <w:lang w:val="en-GB" w:eastAsia="en-GB"/>
        </w:rPr>
        <w:t xml:space="preserve">nd </w:t>
      </w:r>
      <w:r w:rsidR="00621825" w:rsidRPr="008A35DB">
        <w:rPr>
          <w:lang w:val="en-GB" w:eastAsia="en-GB"/>
        </w:rPr>
        <w:t>data on the Firm’s own funds and own funds requirements allows potential investors to assess the Firm’s financial strength</w:t>
      </w:r>
      <w:r w:rsidR="00621825">
        <w:rPr>
          <w:lang w:val="en-GB" w:eastAsia="en-GB"/>
        </w:rPr>
        <w:t>.</w:t>
      </w:r>
    </w:p>
    <w:p w14:paraId="0E9453BA" w14:textId="620D393F" w:rsidR="00DC0053" w:rsidRDefault="00DC0053" w:rsidP="0085426A">
      <w:pPr>
        <w:rPr>
          <w:lang w:val="en-GB" w:eastAsia="en-GB"/>
        </w:rPr>
      </w:pPr>
      <w:r w:rsidRPr="0085426A">
        <w:rPr>
          <w:lang w:val="en-GB" w:eastAsia="en-GB"/>
        </w:rPr>
        <w:t>Th</w:t>
      </w:r>
      <w:r w:rsidR="00C17E54" w:rsidRPr="0085426A">
        <w:rPr>
          <w:lang w:val="en-GB" w:eastAsia="en-GB"/>
        </w:rPr>
        <w:t xml:space="preserve">is </w:t>
      </w:r>
      <w:r w:rsidRPr="0085426A">
        <w:rPr>
          <w:lang w:val="en-GB" w:eastAsia="en-GB"/>
        </w:rPr>
        <w:t xml:space="preserve">document has been prepared by </w:t>
      </w:r>
      <w:r w:rsidR="00531412">
        <w:rPr>
          <w:lang w:val="en-GB" w:eastAsia="en-GB"/>
        </w:rPr>
        <w:t>MS A</w:t>
      </w:r>
      <w:r w:rsidR="00F75DD0">
        <w:rPr>
          <w:lang w:val="en-GB" w:eastAsia="en-GB"/>
        </w:rPr>
        <w:t>IML</w:t>
      </w:r>
      <w:r w:rsidRPr="0085426A">
        <w:rPr>
          <w:lang w:val="en-GB" w:eastAsia="en-GB"/>
        </w:rPr>
        <w:t xml:space="preserve"> in accordance with the requirements of </w:t>
      </w:r>
      <w:r w:rsidR="00C17E54" w:rsidRPr="0085426A">
        <w:rPr>
          <w:lang w:val="en-GB" w:eastAsia="en-GB"/>
        </w:rPr>
        <w:t>MIF</w:t>
      </w:r>
      <w:r w:rsidR="00B66907" w:rsidRPr="0085426A">
        <w:rPr>
          <w:lang w:val="en-GB" w:eastAsia="en-GB"/>
        </w:rPr>
        <w:t>ID</w:t>
      </w:r>
      <w:r w:rsidR="00C17E54" w:rsidRPr="0085426A">
        <w:rPr>
          <w:lang w:val="en-GB" w:eastAsia="en-GB"/>
        </w:rPr>
        <w:t xml:space="preserve">PRU </w:t>
      </w:r>
      <w:r w:rsidR="00A95A78" w:rsidRPr="0085426A">
        <w:rPr>
          <w:lang w:val="en-GB" w:eastAsia="en-GB"/>
        </w:rPr>
        <w:t xml:space="preserve">8 </w:t>
      </w:r>
      <w:r w:rsidRPr="0085426A">
        <w:rPr>
          <w:lang w:val="en-GB" w:eastAsia="en-GB"/>
        </w:rPr>
        <w:t xml:space="preserve">and is verified by </w:t>
      </w:r>
      <w:r w:rsidR="00B66907" w:rsidRPr="0085426A">
        <w:rPr>
          <w:lang w:val="en-GB" w:eastAsia="en-GB"/>
        </w:rPr>
        <w:t>the Governing Body</w:t>
      </w:r>
      <w:r w:rsidRPr="0085426A">
        <w:rPr>
          <w:lang w:val="en-GB" w:eastAsia="en-GB"/>
        </w:rPr>
        <w:t>. Unless otherwise stated, all figures are as at the</w:t>
      </w:r>
      <w:r w:rsidR="00BD26C9">
        <w:rPr>
          <w:lang w:val="en-GB" w:eastAsia="en-GB"/>
        </w:rPr>
        <w:t xml:space="preserve"> Firm’s</w:t>
      </w:r>
      <w:r w:rsidRPr="0085426A">
        <w:rPr>
          <w:lang w:val="en-GB" w:eastAsia="en-GB"/>
        </w:rPr>
        <w:t xml:space="preserve"> </w:t>
      </w:r>
      <w:r w:rsidR="005E58AF">
        <w:rPr>
          <w:lang w:val="en-GB" w:eastAsia="en-GB"/>
        </w:rPr>
        <w:t>202</w:t>
      </w:r>
      <w:r w:rsidR="00617876">
        <w:rPr>
          <w:lang w:val="en-GB" w:eastAsia="en-GB"/>
        </w:rPr>
        <w:t>5</w:t>
      </w:r>
      <w:r w:rsidR="00783E6A">
        <w:rPr>
          <w:lang w:val="en-GB" w:eastAsia="en-GB"/>
        </w:rPr>
        <w:t xml:space="preserve"> </w:t>
      </w:r>
      <w:r w:rsidR="005E58AF">
        <w:rPr>
          <w:lang w:val="en-GB" w:eastAsia="en-GB"/>
        </w:rPr>
        <w:t>f</w:t>
      </w:r>
      <w:r w:rsidRPr="0085426A">
        <w:rPr>
          <w:lang w:val="en-GB" w:eastAsia="en-GB"/>
        </w:rPr>
        <w:t>inancial year-end.</w:t>
      </w:r>
    </w:p>
    <w:p w14:paraId="0A86997F" w14:textId="77777777" w:rsidR="00EF25FE" w:rsidRPr="00245D0D" w:rsidRDefault="00EF25FE" w:rsidP="00F501B4">
      <w:pPr>
        <w:pStyle w:val="Heading3"/>
        <w:rPr>
          <w:rFonts w:ascii="Arial" w:eastAsia="Times New Roman" w:hAnsi="Arial" w:cs="Times New Roman"/>
          <w:b/>
          <w:bCs/>
          <w:i w:val="0"/>
          <w:iCs w:val="0"/>
          <w:color w:val="000000"/>
          <w:sz w:val="32"/>
          <w:szCs w:val="26"/>
          <w:lang w:val="en-GB" w:eastAsia="en-GB"/>
        </w:rPr>
      </w:pPr>
      <w:r w:rsidRPr="00245D0D">
        <w:rPr>
          <w:rFonts w:ascii="Arial" w:eastAsia="Times New Roman" w:hAnsi="Arial" w:cs="Times New Roman"/>
          <w:b/>
          <w:bCs/>
          <w:i w:val="0"/>
          <w:iCs w:val="0"/>
          <w:color w:val="000000"/>
          <w:sz w:val="32"/>
          <w:szCs w:val="26"/>
          <w:lang w:val="en-GB" w:eastAsia="en-GB"/>
        </w:rPr>
        <w:t>Risk Management Objectives and Policies</w:t>
      </w:r>
    </w:p>
    <w:p w14:paraId="68BB4CF0" w14:textId="106FBD77" w:rsidR="00EF25FE" w:rsidRPr="00BC36E7" w:rsidRDefault="00EF25FE" w:rsidP="00EF25FE">
      <w:pPr>
        <w:jc w:val="both"/>
        <w:rPr>
          <w:lang w:val="en-GB" w:eastAsia="en-GB"/>
        </w:rPr>
      </w:pPr>
      <w:r w:rsidRPr="00BC36E7">
        <w:rPr>
          <w:lang w:val="en-GB" w:eastAsia="en-GB"/>
        </w:rPr>
        <w:t xml:space="preserve">This section describes </w:t>
      </w:r>
      <w:r w:rsidR="00531412">
        <w:rPr>
          <w:lang w:val="en-GB" w:eastAsia="en-GB"/>
        </w:rPr>
        <w:t>MS A</w:t>
      </w:r>
      <w:r w:rsidR="00F75DD0">
        <w:rPr>
          <w:lang w:val="en-GB" w:eastAsia="en-GB"/>
        </w:rPr>
        <w:t>IML</w:t>
      </w:r>
      <w:r w:rsidRPr="00BC36E7">
        <w:rPr>
          <w:lang w:val="en-GB" w:eastAsia="en-GB"/>
        </w:rPr>
        <w:t xml:space="preserve">’s risk management objectives and policies for the categories of risk addressed by the requirements </w:t>
      </w:r>
      <w:r>
        <w:rPr>
          <w:lang w:val="en-GB" w:eastAsia="en-GB"/>
        </w:rPr>
        <w:t>of</w:t>
      </w:r>
      <w:r w:rsidRPr="00BC36E7">
        <w:rPr>
          <w:lang w:val="en-GB" w:eastAsia="en-GB"/>
        </w:rPr>
        <w:t xml:space="preserve"> the Firm in the following areas:</w:t>
      </w:r>
    </w:p>
    <w:p w14:paraId="74838F0B" w14:textId="77777777" w:rsidR="00EF25FE" w:rsidRPr="00682304" w:rsidRDefault="00EF25FE" w:rsidP="00B17FDE">
      <w:pPr>
        <w:pStyle w:val="ListParagraph"/>
        <w:numPr>
          <w:ilvl w:val="0"/>
          <w:numId w:val="5"/>
        </w:numPr>
        <w:jc w:val="both"/>
        <w:rPr>
          <w:lang w:val="en-GB" w:eastAsia="en-GB"/>
        </w:rPr>
      </w:pPr>
      <w:r w:rsidRPr="00682304">
        <w:rPr>
          <w:lang w:val="en-GB" w:eastAsia="en-GB"/>
        </w:rPr>
        <w:t>Own funds</w:t>
      </w:r>
      <w:r>
        <w:rPr>
          <w:lang w:val="en-GB" w:eastAsia="en-GB"/>
        </w:rPr>
        <w:t>.</w:t>
      </w:r>
    </w:p>
    <w:p w14:paraId="76137C7F" w14:textId="77777777" w:rsidR="00EF25FE" w:rsidRPr="00682304" w:rsidRDefault="00EF25FE" w:rsidP="00B17FDE">
      <w:pPr>
        <w:pStyle w:val="ListParagraph"/>
        <w:numPr>
          <w:ilvl w:val="0"/>
          <w:numId w:val="5"/>
        </w:numPr>
        <w:jc w:val="both"/>
        <w:rPr>
          <w:lang w:val="en-GB" w:eastAsia="en-GB"/>
        </w:rPr>
      </w:pPr>
      <w:r w:rsidRPr="00682304">
        <w:rPr>
          <w:lang w:val="en-GB" w:eastAsia="en-GB"/>
        </w:rPr>
        <w:t>Concentration risk</w:t>
      </w:r>
      <w:r>
        <w:rPr>
          <w:lang w:val="en-GB" w:eastAsia="en-GB"/>
        </w:rPr>
        <w:t>.</w:t>
      </w:r>
    </w:p>
    <w:p w14:paraId="649C1CBB" w14:textId="77777777" w:rsidR="00EF25FE" w:rsidRPr="00682304" w:rsidRDefault="00EF25FE" w:rsidP="00B17FDE">
      <w:pPr>
        <w:pStyle w:val="ListParagraph"/>
        <w:numPr>
          <w:ilvl w:val="0"/>
          <w:numId w:val="5"/>
        </w:numPr>
        <w:jc w:val="both"/>
        <w:rPr>
          <w:lang w:val="en-GB" w:eastAsia="en-GB"/>
        </w:rPr>
      </w:pPr>
      <w:r w:rsidRPr="00682304">
        <w:rPr>
          <w:lang w:val="en-GB" w:eastAsia="en-GB"/>
        </w:rPr>
        <w:t>Liquidity.</w:t>
      </w:r>
    </w:p>
    <w:p w14:paraId="052881AD" w14:textId="77777777" w:rsidR="00D3155C" w:rsidRDefault="00D3155C" w:rsidP="00EF25FE">
      <w:pPr>
        <w:jc w:val="both"/>
        <w:rPr>
          <w:b/>
          <w:bCs/>
          <w:lang w:val="en-GB" w:eastAsia="en-GB"/>
        </w:rPr>
      </w:pPr>
    </w:p>
    <w:p w14:paraId="2ACCB862" w14:textId="7E03759A" w:rsidR="00D94007" w:rsidRPr="00D3155C" w:rsidRDefault="00EF25FE" w:rsidP="00EF25FE">
      <w:pPr>
        <w:jc w:val="both"/>
        <w:rPr>
          <w:b/>
          <w:bCs/>
          <w:lang w:val="en-GB" w:eastAsia="en-GB"/>
        </w:rPr>
      </w:pPr>
      <w:r w:rsidRPr="00682304">
        <w:rPr>
          <w:b/>
          <w:bCs/>
          <w:lang w:val="en-GB" w:eastAsia="en-GB"/>
        </w:rPr>
        <w:lastRenderedPageBreak/>
        <w:t>Business Strategy</w:t>
      </w:r>
    </w:p>
    <w:p w14:paraId="2E1EF3CF" w14:textId="4584EB62" w:rsidR="00EF25FE" w:rsidRPr="00BC36E7" w:rsidRDefault="00531412" w:rsidP="00EF25FE">
      <w:pPr>
        <w:jc w:val="both"/>
        <w:rPr>
          <w:lang w:val="en-GB" w:eastAsia="en-GB"/>
        </w:rPr>
      </w:pPr>
      <w:r>
        <w:rPr>
          <w:lang w:val="en-GB" w:eastAsia="en-GB"/>
        </w:rPr>
        <w:t>MS A</w:t>
      </w:r>
      <w:r w:rsidR="00F75DD0">
        <w:rPr>
          <w:lang w:val="en-GB" w:eastAsia="en-GB"/>
        </w:rPr>
        <w:t>IML</w:t>
      </w:r>
      <w:r w:rsidR="00EF25FE" w:rsidRPr="00BC36E7">
        <w:rPr>
          <w:lang w:val="en-GB" w:eastAsia="en-GB"/>
        </w:rPr>
        <w:t xml:space="preserve"> is an </w:t>
      </w:r>
      <w:r w:rsidR="00EF25FE" w:rsidRPr="00512BD9">
        <w:rPr>
          <w:lang w:val="en-GB" w:eastAsia="en-GB"/>
        </w:rPr>
        <w:t>investment management</w:t>
      </w:r>
      <w:r w:rsidR="00CC124E" w:rsidRPr="00512BD9">
        <w:rPr>
          <w:lang w:val="en-GB" w:eastAsia="en-GB"/>
        </w:rPr>
        <w:t xml:space="preserve"> </w:t>
      </w:r>
      <w:r w:rsidR="00EF25FE" w:rsidRPr="00BC36E7">
        <w:rPr>
          <w:lang w:val="en-GB" w:eastAsia="en-GB"/>
        </w:rPr>
        <w:t xml:space="preserve">firm </w:t>
      </w:r>
      <w:r w:rsidR="00B95FBC">
        <w:rPr>
          <w:lang w:val="en-GB" w:eastAsia="en-GB"/>
        </w:rPr>
        <w:t xml:space="preserve">that operates within the public markets and is based in </w:t>
      </w:r>
      <w:r w:rsidR="00CC124E">
        <w:rPr>
          <w:lang w:val="en-GB" w:eastAsia="en-GB"/>
        </w:rPr>
        <w:t>the United Kingdom</w:t>
      </w:r>
      <w:r w:rsidR="00EF25FE" w:rsidRPr="00BC36E7">
        <w:rPr>
          <w:lang w:val="en-GB" w:eastAsia="en-GB"/>
        </w:rPr>
        <w:t xml:space="preserve">. As at </w:t>
      </w:r>
      <w:r w:rsidR="005E58AF">
        <w:rPr>
          <w:lang w:val="en-GB" w:eastAsia="en-GB"/>
        </w:rPr>
        <w:t>31 December 202</w:t>
      </w:r>
      <w:r w:rsidR="00617876">
        <w:rPr>
          <w:lang w:val="en-GB" w:eastAsia="en-GB"/>
        </w:rPr>
        <w:t>5</w:t>
      </w:r>
      <w:r w:rsidR="005E58AF">
        <w:rPr>
          <w:lang w:val="en-GB" w:eastAsia="en-GB"/>
        </w:rPr>
        <w:t xml:space="preserve"> </w:t>
      </w:r>
      <w:r w:rsidR="00EF25FE" w:rsidRPr="00BC36E7">
        <w:rPr>
          <w:lang w:val="en-GB" w:eastAsia="en-GB"/>
        </w:rPr>
        <w:t xml:space="preserve">the Firm </w:t>
      </w:r>
      <w:r w:rsidR="00EF25FE" w:rsidRPr="00512BD9">
        <w:rPr>
          <w:lang w:val="en-GB" w:eastAsia="en-GB"/>
        </w:rPr>
        <w:t>manage</w:t>
      </w:r>
      <w:r w:rsidR="00617876">
        <w:rPr>
          <w:lang w:val="en-GB" w:eastAsia="en-GB"/>
        </w:rPr>
        <w:t>d</w:t>
      </w:r>
      <w:r w:rsidR="00EF25FE" w:rsidRPr="00512BD9">
        <w:rPr>
          <w:lang w:val="en-GB" w:eastAsia="en-GB"/>
        </w:rPr>
        <w:t xml:space="preserve"> </w:t>
      </w:r>
      <w:r w:rsidR="00EF25FE" w:rsidRPr="00472B85">
        <w:rPr>
          <w:lang w:val="en-GB" w:eastAsia="en-GB"/>
        </w:rPr>
        <w:t xml:space="preserve">approximately </w:t>
      </w:r>
      <w:r w:rsidR="000E6EF9" w:rsidRPr="00B76388">
        <w:rPr>
          <w:lang w:val="en-GB" w:eastAsia="en-GB"/>
        </w:rPr>
        <w:t>£</w:t>
      </w:r>
      <w:r w:rsidR="00200BCF" w:rsidRPr="005D1F33">
        <w:rPr>
          <w:lang w:val="en-GB" w:eastAsia="en-GB"/>
        </w:rPr>
        <w:t>9,496</w:t>
      </w:r>
      <w:r w:rsidR="000E6EF9" w:rsidRPr="00B76388">
        <w:rPr>
          <w:lang w:val="en-GB" w:eastAsia="en-GB"/>
        </w:rPr>
        <w:t>m</w:t>
      </w:r>
      <w:r w:rsidR="00EF25FE" w:rsidRPr="00472B85">
        <w:rPr>
          <w:lang w:val="en-GB" w:eastAsia="en-GB"/>
        </w:rPr>
        <w:t xml:space="preserve"> </w:t>
      </w:r>
      <w:r w:rsidR="00EF25FE" w:rsidRPr="00512BD9">
        <w:rPr>
          <w:lang w:val="en-GB" w:eastAsia="en-GB"/>
        </w:rPr>
        <w:t>assets under management (“AUM”)</w:t>
      </w:r>
      <w:r w:rsidR="00EF25FE">
        <w:rPr>
          <w:lang w:val="en-GB" w:eastAsia="en-GB"/>
        </w:rPr>
        <w:t>.</w:t>
      </w:r>
      <w:r w:rsidR="00CA3A8F">
        <w:rPr>
          <w:lang w:val="en-GB" w:eastAsia="en-GB"/>
        </w:rPr>
        <w:t xml:space="preserve"> </w:t>
      </w:r>
      <w:r w:rsidR="00CA3A8F" w:rsidRPr="00CA3A8F">
        <w:rPr>
          <w:lang w:val="en-GB" w:eastAsia="en-GB"/>
        </w:rPr>
        <w:t xml:space="preserve">The </w:t>
      </w:r>
      <w:r w:rsidR="00CA3A8F">
        <w:rPr>
          <w:lang w:val="en-GB" w:eastAsia="en-GB"/>
        </w:rPr>
        <w:t>Firm resolved to</w:t>
      </w:r>
      <w:r w:rsidR="00CA3A8F" w:rsidRPr="00CA3A8F">
        <w:rPr>
          <w:lang w:val="en-GB" w:eastAsia="en-GB"/>
        </w:rPr>
        <w:t xml:space="preserve"> commence an orderly wind</w:t>
      </w:r>
      <w:r w:rsidR="00CA3A8F" w:rsidRPr="00CA3A8F">
        <w:rPr>
          <w:rFonts w:ascii="Cambria Math" w:hAnsi="Cambria Math" w:cs="Cambria Math"/>
          <w:lang w:val="en-GB" w:eastAsia="en-GB"/>
        </w:rPr>
        <w:t>‑</w:t>
      </w:r>
      <w:r w:rsidR="00CA3A8F" w:rsidRPr="00CA3A8F">
        <w:rPr>
          <w:lang w:val="en-GB" w:eastAsia="en-GB"/>
        </w:rPr>
        <w:t>down in</w:t>
      </w:r>
      <w:r w:rsidR="00CA3A8F">
        <w:rPr>
          <w:lang w:val="en-GB" w:eastAsia="en-GB"/>
        </w:rPr>
        <w:t xml:space="preserve"> March</w:t>
      </w:r>
      <w:r w:rsidR="00CA3A8F" w:rsidRPr="00CA3A8F">
        <w:rPr>
          <w:lang w:val="en-GB" w:eastAsia="en-GB"/>
        </w:rPr>
        <w:t xml:space="preserve"> 2026 and </w:t>
      </w:r>
      <w:r w:rsidR="00CA3A8F">
        <w:rPr>
          <w:lang w:val="en-GB" w:eastAsia="en-GB"/>
        </w:rPr>
        <w:t xml:space="preserve">aims to </w:t>
      </w:r>
      <w:r w:rsidR="00CA3A8F" w:rsidRPr="00CA3A8F">
        <w:rPr>
          <w:lang w:val="en-GB" w:eastAsia="en-GB"/>
        </w:rPr>
        <w:t xml:space="preserve">continue to provide regulated services </w:t>
      </w:r>
      <w:r w:rsidR="00CA3A8F">
        <w:rPr>
          <w:lang w:val="en-GB" w:eastAsia="en-GB"/>
        </w:rPr>
        <w:t xml:space="preserve">to its clients until Q4 2026. </w:t>
      </w:r>
    </w:p>
    <w:p w14:paraId="42EB4633" w14:textId="5D5FDA9A" w:rsidR="00EF25FE" w:rsidRPr="00BC36E7" w:rsidRDefault="00531412" w:rsidP="00EF25FE">
      <w:pPr>
        <w:jc w:val="both"/>
        <w:rPr>
          <w:lang w:val="en-GB" w:eastAsia="en-GB"/>
        </w:rPr>
      </w:pPr>
      <w:r>
        <w:rPr>
          <w:lang w:val="en-GB" w:eastAsia="en-GB"/>
        </w:rPr>
        <w:t>MS A</w:t>
      </w:r>
      <w:r w:rsidR="00F75DD0">
        <w:rPr>
          <w:lang w:val="en-GB" w:eastAsia="en-GB"/>
        </w:rPr>
        <w:t>IML</w:t>
      </w:r>
      <w:r w:rsidR="00EF25FE" w:rsidRPr="00BC36E7">
        <w:rPr>
          <w:lang w:val="en-GB" w:eastAsia="en-GB"/>
        </w:rPr>
        <w:t xml:space="preserve"> primarily seeks to </w:t>
      </w:r>
      <w:r w:rsidR="00617876">
        <w:rPr>
          <w:lang w:val="en-GB" w:eastAsia="en-GB"/>
        </w:rPr>
        <w:t>maintain</w:t>
      </w:r>
      <w:r w:rsidR="00EF25FE" w:rsidRPr="00BC36E7">
        <w:rPr>
          <w:lang w:val="en-GB" w:eastAsia="en-GB"/>
        </w:rPr>
        <w:t xml:space="preserve"> its revenues by </w:t>
      </w:r>
      <w:r w:rsidR="0062245E">
        <w:rPr>
          <w:lang w:val="en-GB" w:eastAsia="en-GB"/>
        </w:rPr>
        <w:t xml:space="preserve">appropriately managing </w:t>
      </w:r>
      <w:r w:rsidR="00EF25FE">
        <w:rPr>
          <w:lang w:val="en-GB" w:eastAsia="en-GB"/>
        </w:rPr>
        <w:t>the</w:t>
      </w:r>
      <w:r w:rsidR="00EF25FE" w:rsidRPr="00BC36E7">
        <w:rPr>
          <w:lang w:val="en-GB" w:eastAsia="en-GB"/>
        </w:rPr>
        <w:t xml:space="preserve"> underlying asset base on which it charges a </w:t>
      </w:r>
      <w:r w:rsidR="00EF25FE" w:rsidRPr="00512BD9">
        <w:rPr>
          <w:lang w:val="en-GB" w:eastAsia="en-GB"/>
        </w:rPr>
        <w:t>management</w:t>
      </w:r>
      <w:r w:rsidR="00783E6A">
        <w:rPr>
          <w:lang w:val="en-GB" w:eastAsia="en-GB"/>
        </w:rPr>
        <w:t xml:space="preserve"> fee</w:t>
      </w:r>
      <w:r w:rsidR="00EF25FE" w:rsidRPr="00532302">
        <w:rPr>
          <w:lang w:val="en-GB" w:eastAsia="en-GB"/>
        </w:rPr>
        <w:t>.</w:t>
      </w:r>
      <w:r w:rsidR="00EF25FE" w:rsidRPr="00BC36E7">
        <w:rPr>
          <w:lang w:val="en-GB" w:eastAsia="en-GB"/>
        </w:rPr>
        <w:t xml:space="preserve"> This is achieved </w:t>
      </w:r>
      <w:r w:rsidR="00EF25FE">
        <w:rPr>
          <w:lang w:val="en-GB" w:eastAsia="en-GB"/>
        </w:rPr>
        <w:t>by</w:t>
      </w:r>
      <w:r w:rsidR="00EF25FE" w:rsidRPr="00BC36E7">
        <w:rPr>
          <w:lang w:val="en-GB" w:eastAsia="en-GB"/>
        </w:rPr>
        <w:t xml:space="preserve"> the prudent </w:t>
      </w:r>
      <w:r w:rsidR="0062245E">
        <w:rPr>
          <w:lang w:val="en-GB" w:eastAsia="en-GB"/>
        </w:rPr>
        <w:t>management</w:t>
      </w:r>
      <w:r w:rsidR="0062245E" w:rsidRPr="00BC36E7">
        <w:rPr>
          <w:lang w:val="en-GB" w:eastAsia="en-GB"/>
        </w:rPr>
        <w:t xml:space="preserve"> </w:t>
      </w:r>
      <w:r w:rsidR="00EF25FE" w:rsidRPr="00BC36E7">
        <w:rPr>
          <w:lang w:val="en-GB" w:eastAsia="en-GB"/>
        </w:rPr>
        <w:t xml:space="preserve">of </w:t>
      </w:r>
      <w:r w:rsidR="00EF25FE">
        <w:rPr>
          <w:lang w:val="en-GB" w:eastAsia="en-GB"/>
        </w:rPr>
        <w:t xml:space="preserve">the Firm’s </w:t>
      </w:r>
      <w:r w:rsidR="00EF25FE" w:rsidRPr="00BC36E7">
        <w:rPr>
          <w:lang w:val="en-GB" w:eastAsia="en-GB"/>
        </w:rPr>
        <w:t>client’s assets.</w:t>
      </w:r>
    </w:p>
    <w:p w14:paraId="666FDC6E" w14:textId="7D9698A0" w:rsidR="00EF25FE" w:rsidRPr="00BC36E7" w:rsidRDefault="00EF25FE" w:rsidP="00EF25FE">
      <w:pPr>
        <w:jc w:val="both"/>
        <w:rPr>
          <w:lang w:val="en-GB" w:eastAsia="en-GB"/>
        </w:rPr>
      </w:pPr>
      <w:r w:rsidRPr="00BC36E7">
        <w:rPr>
          <w:lang w:val="en-GB" w:eastAsia="en-GB"/>
        </w:rPr>
        <w:t xml:space="preserve">Costs are controlled carefully </w:t>
      </w:r>
      <w:r>
        <w:rPr>
          <w:lang w:val="en-GB" w:eastAsia="en-GB"/>
        </w:rPr>
        <w:t>to ensure</w:t>
      </w:r>
      <w:r w:rsidR="00617876">
        <w:rPr>
          <w:lang w:val="en-GB" w:eastAsia="en-GB"/>
        </w:rPr>
        <w:t xml:space="preserve"> solvency</w:t>
      </w:r>
      <w:r w:rsidRPr="00BC36E7">
        <w:rPr>
          <w:lang w:val="en-GB" w:eastAsia="en-GB"/>
        </w:rPr>
        <w:t xml:space="preserve">. The business seeks to continuously improve its </w:t>
      </w:r>
      <w:r>
        <w:rPr>
          <w:lang w:val="en-GB" w:eastAsia="en-GB"/>
        </w:rPr>
        <w:t>control</w:t>
      </w:r>
      <w:r w:rsidRPr="00BC36E7">
        <w:rPr>
          <w:lang w:val="en-GB" w:eastAsia="en-GB"/>
        </w:rPr>
        <w:t xml:space="preserve"> environment. </w:t>
      </w:r>
    </w:p>
    <w:p w14:paraId="6C686038" w14:textId="15998C6A" w:rsidR="00EF25FE" w:rsidRPr="00BC36E7" w:rsidRDefault="00EF25FE" w:rsidP="00EF25FE">
      <w:pPr>
        <w:jc w:val="both"/>
        <w:rPr>
          <w:lang w:val="en-GB" w:eastAsia="en-GB"/>
        </w:rPr>
      </w:pPr>
      <w:r w:rsidRPr="00BC36E7">
        <w:rPr>
          <w:lang w:val="en-GB" w:eastAsia="en-GB"/>
        </w:rPr>
        <w:t>Given the Firm’s business model, controls</w:t>
      </w:r>
      <w:r>
        <w:rPr>
          <w:lang w:val="en-GB" w:eastAsia="en-GB"/>
        </w:rPr>
        <w:t>,</w:t>
      </w:r>
      <w:r w:rsidRPr="00BC36E7">
        <w:rPr>
          <w:lang w:val="en-GB" w:eastAsia="en-GB"/>
        </w:rPr>
        <w:t xml:space="preserve"> and controls assessment, it is the conclusion of the Firm that its overall potential for harm is </w:t>
      </w:r>
      <w:r w:rsidR="00E1054F">
        <w:rPr>
          <w:lang w:val="en-GB" w:eastAsia="en-GB"/>
        </w:rPr>
        <w:t>medium.</w:t>
      </w:r>
      <w:r w:rsidRPr="00BC36E7">
        <w:rPr>
          <w:lang w:val="en-GB" w:eastAsia="en-GB"/>
        </w:rPr>
        <w:t xml:space="preserve"> </w:t>
      </w:r>
    </w:p>
    <w:p w14:paraId="7B4032A3" w14:textId="77777777" w:rsidR="00EF25FE" w:rsidRPr="003968E9" w:rsidRDefault="00EF25FE" w:rsidP="00EF25FE">
      <w:pPr>
        <w:jc w:val="both"/>
        <w:rPr>
          <w:b/>
          <w:bCs/>
          <w:lang w:val="en-GB" w:eastAsia="en-GB"/>
        </w:rPr>
      </w:pPr>
      <w:r w:rsidRPr="003968E9">
        <w:rPr>
          <w:b/>
          <w:bCs/>
          <w:lang w:val="en-GB" w:eastAsia="en-GB"/>
        </w:rPr>
        <w:t>Own Funds Requirement</w:t>
      </w:r>
    </w:p>
    <w:p w14:paraId="68E37F70" w14:textId="16704D8A" w:rsidR="00EF25FE" w:rsidRPr="00BC36E7" w:rsidRDefault="00531412" w:rsidP="00EF25FE">
      <w:pPr>
        <w:jc w:val="both"/>
        <w:rPr>
          <w:lang w:val="en-GB" w:eastAsia="en-GB"/>
        </w:rPr>
      </w:pPr>
      <w:r>
        <w:rPr>
          <w:lang w:val="en-GB" w:eastAsia="en-GB"/>
        </w:rPr>
        <w:t>MS A</w:t>
      </w:r>
      <w:r w:rsidR="00F75DD0">
        <w:rPr>
          <w:lang w:val="en-GB" w:eastAsia="en-GB"/>
        </w:rPr>
        <w:t>IML</w:t>
      </w:r>
      <w:r w:rsidR="00EF25FE" w:rsidRPr="00BC36E7">
        <w:rPr>
          <w:lang w:val="en-GB" w:eastAsia="en-GB"/>
        </w:rPr>
        <w:t xml:space="preserve"> is required to maintain own funds that are at least equal to the Firm’s own funds requirement. The own funds requirement is the higher of the Firm’s:</w:t>
      </w:r>
    </w:p>
    <w:p w14:paraId="7A9CDF00" w14:textId="6D5B640C" w:rsidR="00EF25FE" w:rsidRPr="00C2291A" w:rsidRDefault="00EF25FE" w:rsidP="00B17FDE">
      <w:pPr>
        <w:pStyle w:val="ListParagraph"/>
        <w:numPr>
          <w:ilvl w:val="0"/>
          <w:numId w:val="6"/>
        </w:numPr>
        <w:jc w:val="both"/>
        <w:rPr>
          <w:lang w:val="en-GB" w:eastAsia="en-GB"/>
        </w:rPr>
      </w:pPr>
      <w:r w:rsidRPr="00C2291A">
        <w:rPr>
          <w:b/>
          <w:bCs/>
          <w:lang w:val="en-GB" w:eastAsia="en-GB"/>
        </w:rPr>
        <w:t>Permanent minimum capital requirement (“PMR”)</w:t>
      </w:r>
      <w:r w:rsidRPr="00C2291A">
        <w:rPr>
          <w:lang w:val="en-GB" w:eastAsia="en-GB"/>
        </w:rPr>
        <w:t xml:space="preserve">: The level of own funds required to operate at all times. Based on the MiFID investment services and activities that the Firm currently has permission to undertake this is set at £75,000; </w:t>
      </w:r>
    </w:p>
    <w:p w14:paraId="6F23F1BE" w14:textId="661A140C" w:rsidR="00EF25FE" w:rsidRPr="00310088" w:rsidRDefault="00EF25FE" w:rsidP="00B17FDE">
      <w:pPr>
        <w:pStyle w:val="ListParagraph"/>
        <w:numPr>
          <w:ilvl w:val="0"/>
          <w:numId w:val="6"/>
        </w:numPr>
        <w:jc w:val="both"/>
        <w:rPr>
          <w:lang w:val="en-GB" w:eastAsia="en-GB"/>
        </w:rPr>
      </w:pPr>
      <w:r w:rsidRPr="00C2291A">
        <w:rPr>
          <w:b/>
          <w:bCs/>
          <w:lang w:val="en-GB" w:eastAsia="en-GB"/>
        </w:rPr>
        <w:t>Fixed overhead requirement (“FOR”)</w:t>
      </w:r>
      <w:r w:rsidRPr="00C2291A">
        <w:rPr>
          <w:lang w:val="en-GB" w:eastAsia="en-GB"/>
        </w:rPr>
        <w:t xml:space="preserve">: The minimum amount of capital that </w:t>
      </w:r>
      <w:r w:rsidR="00531412">
        <w:rPr>
          <w:lang w:val="en-GB" w:eastAsia="en-GB"/>
        </w:rPr>
        <w:t>MS A</w:t>
      </w:r>
      <w:r w:rsidR="00F75DD0">
        <w:rPr>
          <w:lang w:val="en-GB" w:eastAsia="en-GB"/>
        </w:rPr>
        <w:t>IML</w:t>
      </w:r>
      <w:r w:rsidRPr="00C2291A">
        <w:rPr>
          <w:lang w:val="en-GB" w:eastAsia="en-GB"/>
        </w:rPr>
        <w:t xml:space="preserve"> would need to have to absorb losses if the Firm has cause to </w:t>
      </w:r>
      <w:r w:rsidR="000415DB">
        <w:rPr>
          <w:lang w:val="en-GB" w:eastAsia="en-GB"/>
        </w:rPr>
        <w:t>wind down</w:t>
      </w:r>
      <w:r w:rsidRPr="00C2291A">
        <w:rPr>
          <w:lang w:val="en-GB" w:eastAsia="en-GB"/>
        </w:rPr>
        <w:t xml:space="preserve"> exit the market. This is equal </w:t>
      </w:r>
      <w:r w:rsidRPr="00310088">
        <w:rPr>
          <w:lang w:val="en-GB" w:eastAsia="en-GB"/>
        </w:rPr>
        <w:t>to one quarter of the Firm’s relevant expenditure</w:t>
      </w:r>
      <w:r w:rsidR="000415DB" w:rsidRPr="00310088">
        <w:rPr>
          <w:lang w:val="en-GB" w:eastAsia="en-GB"/>
        </w:rPr>
        <w:t>; and</w:t>
      </w:r>
    </w:p>
    <w:p w14:paraId="5C7815C8" w14:textId="75E35A31" w:rsidR="000415DB" w:rsidRPr="00310088" w:rsidRDefault="000415DB" w:rsidP="00B17FDE">
      <w:pPr>
        <w:pStyle w:val="ListParagraph"/>
        <w:numPr>
          <w:ilvl w:val="0"/>
          <w:numId w:val="6"/>
        </w:numPr>
        <w:rPr>
          <w:lang w:val="en-GB" w:eastAsia="en-GB"/>
        </w:rPr>
      </w:pPr>
      <w:r w:rsidRPr="00310088">
        <w:rPr>
          <w:b/>
          <w:bCs/>
          <w:lang w:val="en-GB" w:eastAsia="en-GB"/>
        </w:rPr>
        <w:t>K-factor requirement (“KFR”)</w:t>
      </w:r>
      <w:r w:rsidRPr="00310088">
        <w:rPr>
          <w:lang w:val="en-GB" w:eastAsia="en-GB"/>
        </w:rPr>
        <w:t>: The KFR is intended to calculate a minimum amount of</w:t>
      </w:r>
      <w:r w:rsidRPr="000415DB">
        <w:rPr>
          <w:lang w:val="en-GB" w:eastAsia="en-GB"/>
        </w:rPr>
        <w:t xml:space="preserve"> capital that </w:t>
      </w:r>
      <w:r w:rsidR="00531412">
        <w:rPr>
          <w:lang w:val="en-GB" w:eastAsia="en-GB"/>
        </w:rPr>
        <w:t>MS A</w:t>
      </w:r>
      <w:r w:rsidR="00F75DD0">
        <w:rPr>
          <w:lang w:val="en-GB" w:eastAsia="en-GB"/>
        </w:rPr>
        <w:t>IML</w:t>
      </w:r>
      <w:r w:rsidRPr="000415DB">
        <w:rPr>
          <w:lang w:val="en-GB" w:eastAsia="en-GB"/>
        </w:rPr>
        <w:t xml:space="preserve"> would need for the ongoing operation of its business. The K-factors that apply to the Firm’s business are K-AUM (calculated on the basis of the Firm’s </w:t>
      </w:r>
      <w:r>
        <w:rPr>
          <w:lang w:val="en-GB" w:eastAsia="en-GB"/>
        </w:rPr>
        <w:t>assets under management (“AUM”)</w:t>
      </w:r>
      <w:r w:rsidRPr="000415DB">
        <w:rPr>
          <w:lang w:val="en-GB" w:eastAsia="en-GB"/>
        </w:rPr>
        <w:t xml:space="preserve">) </w:t>
      </w:r>
      <w:r w:rsidRPr="00310088">
        <w:rPr>
          <w:lang w:val="en-GB" w:eastAsia="en-GB"/>
        </w:rPr>
        <w:t>and K-COH (calculated on the basis of the client orders handled by the Firm).</w:t>
      </w:r>
    </w:p>
    <w:p w14:paraId="51E4936A" w14:textId="23FD2A94" w:rsidR="00535D28" w:rsidRPr="00535D28" w:rsidRDefault="00531412" w:rsidP="00535D28">
      <w:pPr>
        <w:jc w:val="both"/>
        <w:rPr>
          <w:lang w:val="en-GB" w:eastAsia="en-GB"/>
        </w:rPr>
      </w:pPr>
      <w:r>
        <w:rPr>
          <w:lang w:val="en-GB" w:eastAsia="en-GB"/>
        </w:rPr>
        <w:t>MS A</w:t>
      </w:r>
      <w:r w:rsidR="00F75DD0">
        <w:rPr>
          <w:lang w:val="en-GB" w:eastAsia="en-GB"/>
        </w:rPr>
        <w:t>IML</w:t>
      </w:r>
      <w:r w:rsidR="00535D28" w:rsidRPr="00535D28">
        <w:rPr>
          <w:lang w:val="en-GB" w:eastAsia="en-GB"/>
        </w:rPr>
        <w:t xml:space="preserve">’s own funds requirement is currently set by its </w:t>
      </w:r>
      <w:r w:rsidR="000E6EF9">
        <w:rPr>
          <w:lang w:val="en-GB" w:eastAsia="en-GB"/>
        </w:rPr>
        <w:t>FOR</w:t>
      </w:r>
      <w:r w:rsidR="00535D28" w:rsidRPr="00535D28">
        <w:rPr>
          <w:lang w:val="en-GB" w:eastAsia="en-GB"/>
        </w:rPr>
        <w:t xml:space="preserve"> as this is the highest of the three metrics. The potential for harm associated with </w:t>
      </w:r>
      <w:r>
        <w:rPr>
          <w:lang w:val="en-GB" w:eastAsia="en-GB"/>
        </w:rPr>
        <w:t>MS A</w:t>
      </w:r>
      <w:r w:rsidR="00F75DD0">
        <w:rPr>
          <w:lang w:val="en-GB" w:eastAsia="en-GB"/>
        </w:rPr>
        <w:t>IML</w:t>
      </w:r>
      <w:r w:rsidR="00535D28" w:rsidRPr="00535D28">
        <w:rPr>
          <w:lang w:val="en-GB" w:eastAsia="en-GB"/>
        </w:rPr>
        <w:t xml:space="preserve">’s </w:t>
      </w:r>
      <w:r w:rsidR="00641DB2">
        <w:rPr>
          <w:lang w:val="en-GB" w:eastAsia="en-GB"/>
        </w:rPr>
        <w:t xml:space="preserve">historic </w:t>
      </w:r>
      <w:r w:rsidR="00535D28" w:rsidRPr="00535D28">
        <w:rPr>
          <w:lang w:val="en-GB" w:eastAsia="en-GB"/>
        </w:rPr>
        <w:t xml:space="preserve">business strategy, based on the Firm’s own funds requirement, is </w:t>
      </w:r>
      <w:r w:rsidR="00E1054F">
        <w:rPr>
          <w:lang w:val="en-GB" w:eastAsia="en-GB"/>
        </w:rPr>
        <w:t>medium</w:t>
      </w:r>
      <w:r w:rsidR="00535D28" w:rsidRPr="00535D28">
        <w:rPr>
          <w:lang w:val="en-GB" w:eastAsia="en-GB"/>
        </w:rPr>
        <w:t xml:space="preserve">. </w:t>
      </w:r>
    </w:p>
    <w:p w14:paraId="50FDF1D8" w14:textId="303A26F5" w:rsidR="00EF25FE" w:rsidRPr="00BC36E7" w:rsidRDefault="00EF25FE" w:rsidP="00EF25FE">
      <w:pPr>
        <w:jc w:val="both"/>
        <w:rPr>
          <w:lang w:val="en-GB" w:eastAsia="en-GB"/>
        </w:rPr>
      </w:pPr>
      <w:r>
        <w:rPr>
          <w:lang w:val="en-GB" w:eastAsia="en-GB"/>
        </w:rPr>
        <w:t>A method</w:t>
      </w:r>
      <w:r w:rsidRPr="00BC36E7">
        <w:rPr>
          <w:lang w:val="en-GB" w:eastAsia="en-GB"/>
        </w:rPr>
        <w:t xml:space="preserve"> adopted by the Firm to manage the risk of breach of the Firm’s own funds requirement is </w:t>
      </w:r>
      <w:r>
        <w:rPr>
          <w:lang w:val="en-GB" w:eastAsia="en-GB"/>
        </w:rPr>
        <w:t>the maintenance of a</w:t>
      </w:r>
      <w:r w:rsidRPr="00BC36E7">
        <w:rPr>
          <w:lang w:val="en-GB" w:eastAsia="en-GB"/>
        </w:rPr>
        <w:t xml:space="preserve"> healthy own funds surplus above the own funds requirement. In the event that the </w:t>
      </w:r>
      <w:r>
        <w:rPr>
          <w:lang w:val="en-GB" w:eastAsia="en-GB"/>
        </w:rPr>
        <w:t xml:space="preserve">Firm’s </w:t>
      </w:r>
      <w:r w:rsidRPr="00BC36E7">
        <w:rPr>
          <w:lang w:val="en-GB" w:eastAsia="en-GB"/>
        </w:rPr>
        <w:t xml:space="preserve">own funds drop to an amount equal to 110% of the Firm’s own funds threshold requirement, the Firm will immediately notify its </w:t>
      </w:r>
      <w:r>
        <w:rPr>
          <w:lang w:val="en-GB" w:eastAsia="en-GB"/>
        </w:rPr>
        <w:t>Governing Body</w:t>
      </w:r>
      <w:r w:rsidRPr="00BC36E7">
        <w:rPr>
          <w:lang w:val="en-GB" w:eastAsia="en-GB"/>
        </w:rPr>
        <w:t xml:space="preserve">, as well as the regulator. The </w:t>
      </w:r>
      <w:r>
        <w:rPr>
          <w:lang w:val="en-GB" w:eastAsia="en-GB"/>
        </w:rPr>
        <w:t>Governing Body</w:t>
      </w:r>
      <w:r w:rsidRPr="00BC36E7">
        <w:rPr>
          <w:lang w:val="en-GB" w:eastAsia="en-GB"/>
        </w:rPr>
        <w:t xml:space="preserve"> will consider the necessary steps required in order to increase the own funds buffer; this may include injecting more own funds into the Firm. </w:t>
      </w:r>
    </w:p>
    <w:p w14:paraId="0D4EA8AA" w14:textId="77777777" w:rsidR="00D94007" w:rsidRDefault="00D94007" w:rsidP="00EF25FE">
      <w:pPr>
        <w:jc w:val="both"/>
        <w:rPr>
          <w:b/>
          <w:bCs/>
          <w:lang w:val="en-GB" w:eastAsia="en-GB"/>
        </w:rPr>
      </w:pPr>
    </w:p>
    <w:p w14:paraId="3933D3FF" w14:textId="0ACA4891" w:rsidR="00EF25FE" w:rsidRPr="00B91FC4" w:rsidRDefault="00EF25FE" w:rsidP="00EF25FE">
      <w:pPr>
        <w:jc w:val="both"/>
        <w:rPr>
          <w:b/>
          <w:bCs/>
          <w:lang w:val="en-GB" w:eastAsia="en-GB"/>
        </w:rPr>
      </w:pPr>
      <w:r w:rsidRPr="00B91FC4">
        <w:rPr>
          <w:b/>
          <w:bCs/>
          <w:lang w:val="en-GB" w:eastAsia="en-GB"/>
        </w:rPr>
        <w:t>Concentration Risk</w:t>
      </w:r>
    </w:p>
    <w:p w14:paraId="6D89A369" w14:textId="42573141" w:rsidR="003320A5" w:rsidRDefault="00EF25FE" w:rsidP="003320A5">
      <w:pPr>
        <w:jc w:val="both"/>
        <w:rPr>
          <w:lang w:val="en-GB" w:eastAsia="en-GB"/>
        </w:rPr>
      </w:pPr>
      <w:r w:rsidRPr="00512BD9">
        <w:rPr>
          <w:lang w:val="en-GB" w:eastAsia="en-GB"/>
        </w:rPr>
        <w:t xml:space="preserve">The Firm has multiple clients, which provides for a diverse stream of revenue. Moreover, the investors are typically institutional professional investors. </w:t>
      </w:r>
    </w:p>
    <w:p w14:paraId="472271A1" w14:textId="1614EE4B" w:rsidR="003320A5" w:rsidRDefault="008457E8" w:rsidP="003320A5">
      <w:pPr>
        <w:jc w:val="both"/>
        <w:rPr>
          <w:lang w:val="en-GB" w:eastAsia="en-GB"/>
        </w:rPr>
      </w:pPr>
      <w:r>
        <w:rPr>
          <w:lang w:val="en-GB" w:eastAsia="en-GB"/>
        </w:rPr>
        <w:t>All clients are members of the MS&amp;AD group</w:t>
      </w:r>
      <w:r w:rsidR="003320A5">
        <w:rPr>
          <w:lang w:val="en-GB" w:eastAsia="en-GB"/>
        </w:rPr>
        <w:t xml:space="preserve"> which impacts concentration risk as the client base is associated with a single group, however due to the financial size of MS&amp;AD as parent, other aspects of risk are reduced</w:t>
      </w:r>
      <w:r w:rsidR="00591945">
        <w:rPr>
          <w:lang w:val="en-GB" w:eastAsia="en-GB"/>
        </w:rPr>
        <w:t xml:space="preserve"> </w:t>
      </w:r>
      <w:r w:rsidR="003320A5">
        <w:rPr>
          <w:lang w:val="en-GB" w:eastAsia="en-GB"/>
        </w:rPr>
        <w:t xml:space="preserve">through intragroup support. </w:t>
      </w:r>
    </w:p>
    <w:p w14:paraId="4BC7FAEF" w14:textId="462CFE3E" w:rsidR="008457E8" w:rsidRPr="00BC36E7" w:rsidRDefault="008457E8" w:rsidP="003320A5">
      <w:pPr>
        <w:jc w:val="both"/>
        <w:rPr>
          <w:lang w:val="en-GB" w:eastAsia="en-GB"/>
        </w:rPr>
      </w:pPr>
      <w:r>
        <w:rPr>
          <w:lang w:val="en-GB" w:eastAsia="en-GB"/>
        </w:rPr>
        <w:t>The Firm is not permitted to hold client asset</w:t>
      </w:r>
      <w:r w:rsidR="00591945">
        <w:rPr>
          <w:lang w:val="en-GB" w:eastAsia="en-GB"/>
        </w:rPr>
        <w:t xml:space="preserve">s. </w:t>
      </w:r>
    </w:p>
    <w:p w14:paraId="4B98E2A1" w14:textId="060C4937" w:rsidR="00EF25FE" w:rsidRPr="00BC36E7" w:rsidRDefault="00EF25FE" w:rsidP="00EF25FE">
      <w:pPr>
        <w:jc w:val="both"/>
        <w:rPr>
          <w:lang w:val="en-GB" w:eastAsia="en-GB"/>
        </w:rPr>
      </w:pPr>
      <w:r w:rsidRPr="00DC2BB9">
        <w:rPr>
          <w:lang w:val="en-GB" w:eastAsia="en-GB"/>
        </w:rPr>
        <w:t>The Firm deposits its cash with a well-established multinational institution</w:t>
      </w:r>
      <w:r w:rsidR="008457E8" w:rsidRPr="00DC2BB9">
        <w:rPr>
          <w:lang w:val="en-GB" w:eastAsia="en-GB"/>
        </w:rPr>
        <w:t xml:space="preserve"> for which regular due diligence and credit reviews are performed to support oversight of this risk area. In addition to cash deposits, the Firm also invests a portion of its assets in a UCITS</w:t>
      </w:r>
      <w:r w:rsidR="00591945">
        <w:rPr>
          <w:lang w:val="en-GB" w:eastAsia="en-GB"/>
        </w:rPr>
        <w:t xml:space="preserve"> cash</w:t>
      </w:r>
      <w:r w:rsidR="008457E8" w:rsidRPr="00DC2BB9">
        <w:rPr>
          <w:lang w:val="en-GB" w:eastAsia="en-GB"/>
        </w:rPr>
        <w:t xml:space="preserve"> fund managed by the Firm. This fund invests in </w:t>
      </w:r>
      <w:r w:rsidR="00591945">
        <w:rPr>
          <w:lang w:val="en-GB" w:eastAsia="en-GB"/>
        </w:rPr>
        <w:t xml:space="preserve">diversified </w:t>
      </w:r>
      <w:r w:rsidR="008457E8" w:rsidRPr="00DC2BB9">
        <w:rPr>
          <w:lang w:val="en-GB" w:eastAsia="en-GB"/>
        </w:rPr>
        <w:t xml:space="preserve">money market holdings and </w:t>
      </w:r>
      <w:r w:rsidR="001D67D9">
        <w:rPr>
          <w:lang w:val="en-GB" w:eastAsia="en-GB"/>
        </w:rPr>
        <w:t>regular</w:t>
      </w:r>
      <w:r w:rsidR="008457E8" w:rsidRPr="00DC2BB9">
        <w:rPr>
          <w:lang w:val="en-GB" w:eastAsia="en-GB"/>
        </w:rPr>
        <w:t xml:space="preserve"> monitoring is performed for credit exposure, amongst other oversight factors. </w:t>
      </w:r>
    </w:p>
    <w:p w14:paraId="433B2722" w14:textId="77777777" w:rsidR="00EF25FE" w:rsidRPr="00CE35E7" w:rsidRDefault="00EF25FE" w:rsidP="00EF25FE">
      <w:pPr>
        <w:jc w:val="both"/>
        <w:rPr>
          <w:b/>
          <w:bCs/>
          <w:lang w:val="en-GB" w:eastAsia="en-GB"/>
        </w:rPr>
      </w:pPr>
      <w:r w:rsidRPr="00CE35E7">
        <w:rPr>
          <w:b/>
          <w:bCs/>
          <w:lang w:val="en-GB" w:eastAsia="en-GB"/>
        </w:rPr>
        <w:t>Liquidity</w:t>
      </w:r>
    </w:p>
    <w:p w14:paraId="4F592BBA" w14:textId="77777777" w:rsidR="00EF25FE" w:rsidRPr="00BC36E7" w:rsidRDefault="00EF25FE" w:rsidP="00EF25FE">
      <w:pPr>
        <w:jc w:val="both"/>
        <w:rPr>
          <w:lang w:val="en-GB" w:eastAsia="en-GB"/>
        </w:rPr>
      </w:pPr>
      <w:r w:rsidRPr="00BC36E7">
        <w:rPr>
          <w:lang w:val="en-GB" w:eastAsia="en-GB"/>
        </w:rPr>
        <w:t>The Firm is required to maintain sufficient liquidity to ensure that there is no significant risk that its liabilities cannot be met as they fall due and to ensure that it has appropriate (liquid) resources in the event of a stress scenario.</w:t>
      </w:r>
    </w:p>
    <w:p w14:paraId="2AEF5963" w14:textId="5ABFFCE8" w:rsidR="00EF25FE" w:rsidRPr="00245D0D" w:rsidRDefault="00EF25FE" w:rsidP="00EF25FE">
      <w:pPr>
        <w:jc w:val="both"/>
        <w:rPr>
          <w:lang w:val="en-GB" w:eastAsia="en-GB"/>
        </w:rPr>
      </w:pPr>
      <w:r w:rsidRPr="00BC36E7">
        <w:rPr>
          <w:lang w:val="en-GB" w:eastAsia="en-GB"/>
        </w:rPr>
        <w:t>The potential for harm associated wit</w:t>
      </w:r>
      <w:r w:rsidRPr="008E3D48">
        <w:rPr>
          <w:lang w:val="en-GB" w:eastAsia="en-GB"/>
        </w:rPr>
        <w:t>h</w:t>
      </w:r>
      <w:r w:rsidRPr="00BC36E7">
        <w:rPr>
          <w:lang w:val="en-GB" w:eastAsia="en-GB"/>
        </w:rPr>
        <w:t xml:space="preserve"> </w:t>
      </w:r>
      <w:r w:rsidR="00531412">
        <w:rPr>
          <w:lang w:val="en-GB" w:eastAsia="en-GB"/>
        </w:rPr>
        <w:t>MS A</w:t>
      </w:r>
      <w:r w:rsidR="00F75DD0">
        <w:rPr>
          <w:lang w:val="en-GB" w:eastAsia="en-GB"/>
        </w:rPr>
        <w:t>IML</w:t>
      </w:r>
      <w:r w:rsidRPr="00BC36E7">
        <w:rPr>
          <w:lang w:val="en-GB" w:eastAsia="en-GB"/>
        </w:rPr>
        <w:t>’s business strategy, based on the Firm’s basic liquid assets requirement</w:t>
      </w:r>
      <w:r w:rsidRPr="008E3D48">
        <w:rPr>
          <w:lang w:val="en-GB" w:eastAsia="en-GB"/>
        </w:rPr>
        <w:t xml:space="preserve">, is </w:t>
      </w:r>
      <w:r w:rsidRPr="00512BD9">
        <w:rPr>
          <w:lang w:val="en-GB" w:eastAsia="en-GB"/>
        </w:rPr>
        <w:t>low</w:t>
      </w:r>
      <w:r w:rsidRPr="008E3D48">
        <w:rPr>
          <w:lang w:val="en-GB" w:eastAsia="en-GB"/>
        </w:rPr>
        <w:t>. As</w:t>
      </w:r>
      <w:r w:rsidRPr="00BC36E7">
        <w:rPr>
          <w:lang w:val="en-GB" w:eastAsia="en-GB"/>
        </w:rPr>
        <w:t xml:space="preserve"> with</w:t>
      </w:r>
      <w:r>
        <w:rPr>
          <w:lang w:val="en-GB" w:eastAsia="en-GB"/>
        </w:rPr>
        <w:t xml:space="preserve"> regard to</w:t>
      </w:r>
      <w:r w:rsidRPr="00BC36E7">
        <w:rPr>
          <w:lang w:val="en-GB" w:eastAsia="en-GB"/>
        </w:rPr>
        <w:t xml:space="preserve"> its own funds requirement, this is due to the </w:t>
      </w:r>
      <w:r w:rsidRPr="00512BD9">
        <w:rPr>
          <w:lang w:val="en-GB" w:eastAsia="en-GB"/>
        </w:rPr>
        <w:t xml:space="preserve"> </w:t>
      </w:r>
      <w:r w:rsidRPr="00512BD9" w:rsidDel="00EA2E0E">
        <w:rPr>
          <w:lang w:val="en-GB" w:eastAsia="en-GB"/>
        </w:rPr>
        <w:t>relative</w:t>
      </w:r>
      <w:r w:rsidR="00617876">
        <w:rPr>
          <w:lang w:val="en-GB" w:eastAsia="en-GB"/>
        </w:rPr>
        <w:t xml:space="preserve"> </w:t>
      </w:r>
      <w:r w:rsidRPr="00512BD9">
        <w:rPr>
          <w:lang w:val="en-GB" w:eastAsia="en-GB"/>
        </w:rPr>
        <w:t>consisten</w:t>
      </w:r>
      <w:r w:rsidR="00617876">
        <w:rPr>
          <w:lang w:val="en-GB" w:eastAsia="en-GB"/>
        </w:rPr>
        <w:t>cy</w:t>
      </w:r>
      <w:r w:rsidRPr="00512BD9" w:rsidDel="00EA2E0E">
        <w:rPr>
          <w:lang w:val="en-GB" w:eastAsia="en-GB"/>
        </w:rPr>
        <w:t xml:space="preserve">  in the Firm's</w:t>
      </w:r>
      <w:r w:rsidRPr="00512BD9">
        <w:rPr>
          <w:lang w:val="en-GB" w:eastAsia="en-GB"/>
        </w:rPr>
        <w:t xml:space="preserve"> </w:t>
      </w:r>
      <w:r w:rsidRPr="00512BD9" w:rsidDel="00EA2E0E">
        <w:rPr>
          <w:lang w:val="en-GB" w:eastAsia="en-GB"/>
        </w:rPr>
        <w:t>revenues and asset base</w:t>
      </w:r>
      <w:r w:rsidRPr="00512BD9">
        <w:rPr>
          <w:lang w:val="en-GB" w:eastAsia="en-GB"/>
        </w:rPr>
        <w:t xml:space="preserve"> and</w:t>
      </w:r>
      <w:r w:rsidRPr="00BC36E7">
        <w:rPr>
          <w:lang w:val="en-GB" w:eastAsia="en-GB"/>
        </w:rPr>
        <w:t xml:space="preserve"> maintenance</w:t>
      </w:r>
      <w:r>
        <w:rPr>
          <w:lang w:val="en-GB" w:eastAsia="en-GB"/>
        </w:rPr>
        <w:t xml:space="preserve"> of</w:t>
      </w:r>
      <w:r w:rsidRPr="00BC36E7">
        <w:rPr>
          <w:lang w:val="en-GB" w:eastAsia="en-GB"/>
        </w:rPr>
        <w:t xml:space="preserve"> a healthy core liquid assets surplus above the basic liquid assets requirement. The Firm retains an amount it considers suitable for providing sufficient liquidity to meet the working capital requirements under various conditions</w:t>
      </w:r>
      <w:r w:rsidR="009D0BA3">
        <w:rPr>
          <w:lang w:val="en-GB" w:eastAsia="en-GB"/>
        </w:rPr>
        <w:t xml:space="preserve"> and wind-down</w:t>
      </w:r>
      <w:r w:rsidRPr="00BC36E7">
        <w:rPr>
          <w:lang w:val="en-GB" w:eastAsia="en-GB"/>
        </w:rPr>
        <w:t xml:space="preserve">. </w:t>
      </w:r>
      <w:r w:rsidR="00531412">
        <w:rPr>
          <w:lang w:val="en-GB" w:eastAsia="en-GB"/>
        </w:rPr>
        <w:t>MS A</w:t>
      </w:r>
      <w:r w:rsidR="00F75DD0">
        <w:rPr>
          <w:lang w:val="en-GB" w:eastAsia="en-GB"/>
        </w:rPr>
        <w:t>IML</w:t>
      </w:r>
      <w:r w:rsidRPr="00BC36E7">
        <w:rPr>
          <w:lang w:val="en-GB" w:eastAsia="en-GB"/>
        </w:rPr>
        <w:t xml:space="preserve"> has always had sufficient liquidity within the business to meet its obligations and there are no perceived threats to this given the cash</w:t>
      </w:r>
      <w:r w:rsidR="004B1E3B">
        <w:rPr>
          <w:lang w:val="en-GB" w:eastAsia="en-GB"/>
        </w:rPr>
        <w:t xml:space="preserve"> by holding</w:t>
      </w:r>
      <w:r w:rsidRPr="00BC36E7">
        <w:rPr>
          <w:lang w:val="en-GB" w:eastAsia="en-GB"/>
        </w:rPr>
        <w:t xml:space="preserve"> </w:t>
      </w:r>
      <w:r w:rsidR="004B1E3B">
        <w:rPr>
          <w:lang w:val="en-GB" w:eastAsia="en-GB"/>
        </w:rPr>
        <w:t xml:space="preserve">funds in a Money Market Fund which is monitored. </w:t>
      </w:r>
      <w:r w:rsidRPr="00BC36E7">
        <w:rPr>
          <w:lang w:val="en-GB" w:eastAsia="en-GB"/>
        </w:rPr>
        <w:t xml:space="preserve">Additionally, it has historically been the case that all debtors are settled promptly, thus ensuring further liquidity resources are available to the Firm on a timely basis. </w:t>
      </w:r>
      <w:r w:rsidRPr="00245D0D">
        <w:rPr>
          <w:lang w:val="en-GB" w:eastAsia="en-GB"/>
        </w:rPr>
        <w:t xml:space="preserve">The cash position of the Firm is monitored by the </w:t>
      </w:r>
      <w:r w:rsidR="00190CB5" w:rsidRPr="00245D0D">
        <w:rPr>
          <w:lang w:val="en-GB" w:eastAsia="en-GB"/>
        </w:rPr>
        <w:t xml:space="preserve">Head of Business Administration </w:t>
      </w:r>
      <w:r w:rsidRPr="00245D0D">
        <w:rPr>
          <w:lang w:val="en-GB" w:eastAsia="en-GB"/>
        </w:rPr>
        <w:t>on a regular</w:t>
      </w:r>
      <w:r w:rsidR="00190CB5" w:rsidRPr="00245D0D">
        <w:rPr>
          <w:lang w:val="en-GB" w:eastAsia="en-GB"/>
        </w:rPr>
        <w:t xml:space="preserve"> </w:t>
      </w:r>
      <w:r w:rsidRPr="00245D0D">
        <w:rPr>
          <w:lang w:val="en-GB" w:eastAsia="en-GB"/>
        </w:rPr>
        <w:t>basis, and the Firm would be able to call on its parent undertaking for further capital as required</w:t>
      </w:r>
      <w:r w:rsidR="00112C65" w:rsidRPr="00245D0D">
        <w:rPr>
          <w:lang w:val="en-GB" w:eastAsia="en-GB"/>
        </w:rPr>
        <w:t>.</w:t>
      </w:r>
    </w:p>
    <w:p w14:paraId="3B44E423" w14:textId="77777777" w:rsidR="00EF25FE" w:rsidRPr="00245D0D" w:rsidRDefault="00EF25FE" w:rsidP="00EF25FE">
      <w:pPr>
        <w:jc w:val="both"/>
        <w:rPr>
          <w:b/>
          <w:bCs/>
          <w:lang w:val="en-GB" w:eastAsia="en-GB"/>
        </w:rPr>
      </w:pPr>
      <w:r w:rsidRPr="00245D0D">
        <w:rPr>
          <w:b/>
          <w:bCs/>
          <w:lang w:val="en-GB" w:eastAsia="en-GB"/>
        </w:rPr>
        <w:t>Risk Management Structure</w:t>
      </w:r>
    </w:p>
    <w:p w14:paraId="11269D06" w14:textId="2A269D6B" w:rsidR="00EF25FE" w:rsidRDefault="00531412" w:rsidP="00EF25FE">
      <w:pPr>
        <w:jc w:val="both"/>
        <w:rPr>
          <w:lang w:val="en-GB" w:eastAsia="en-GB"/>
        </w:rPr>
      </w:pPr>
      <w:r w:rsidRPr="00245D0D">
        <w:rPr>
          <w:lang w:val="en-GB" w:eastAsia="en-GB"/>
        </w:rPr>
        <w:t>MS A</w:t>
      </w:r>
      <w:r w:rsidR="00F75DD0">
        <w:rPr>
          <w:lang w:val="en-GB" w:eastAsia="en-GB"/>
        </w:rPr>
        <w:t>IML</w:t>
      </w:r>
      <w:r w:rsidR="00EF25FE" w:rsidRPr="00245D0D">
        <w:rPr>
          <w:lang w:val="en-GB" w:eastAsia="en-GB"/>
        </w:rPr>
        <w:t xml:space="preserve"> has established a risk management </w:t>
      </w:r>
      <w:r w:rsidR="001D4FF8" w:rsidRPr="00245D0D">
        <w:rPr>
          <w:lang w:val="en-GB" w:eastAsia="en-GB"/>
        </w:rPr>
        <w:t>framework in</w:t>
      </w:r>
      <w:r w:rsidR="00EF25FE" w:rsidRPr="00245D0D">
        <w:rPr>
          <w:lang w:val="en-GB" w:eastAsia="en-GB"/>
        </w:rPr>
        <w:t xml:space="preserve"> order to ensure that it has effective systems and controls in place to identify, monitor and manage risks arising in the business. </w:t>
      </w:r>
      <w:r w:rsidR="0031211E" w:rsidRPr="00245D0D">
        <w:rPr>
          <w:lang w:val="en-GB" w:eastAsia="en-GB"/>
        </w:rPr>
        <w:t>R</w:t>
      </w:r>
      <w:r w:rsidR="00EF25FE" w:rsidRPr="00245D0D">
        <w:rPr>
          <w:lang w:val="en-GB" w:eastAsia="en-GB"/>
        </w:rPr>
        <w:t>isk management is overseen by</w:t>
      </w:r>
      <w:r w:rsidR="00190CB5" w:rsidRPr="00245D0D">
        <w:rPr>
          <w:lang w:val="en-GB" w:eastAsia="en-GB"/>
        </w:rPr>
        <w:t xml:space="preserve"> </w:t>
      </w:r>
      <w:r w:rsidR="00EF25FE" w:rsidRPr="00245D0D">
        <w:rPr>
          <w:lang w:val="en-GB" w:eastAsia="en-GB"/>
        </w:rPr>
        <w:t xml:space="preserve">the  </w:t>
      </w:r>
      <w:r w:rsidR="00617876">
        <w:rPr>
          <w:lang w:val="en-GB" w:eastAsia="en-GB"/>
        </w:rPr>
        <w:t xml:space="preserve">Head of </w:t>
      </w:r>
      <w:r w:rsidR="005E58AF" w:rsidRPr="00245D0D">
        <w:rPr>
          <w:lang w:val="en-GB" w:eastAsia="en-GB"/>
        </w:rPr>
        <w:t xml:space="preserve">Risk </w:t>
      </w:r>
      <w:r w:rsidR="005E58AF">
        <w:rPr>
          <w:lang w:val="en-GB" w:eastAsia="en-GB"/>
        </w:rPr>
        <w:t xml:space="preserve"> </w:t>
      </w:r>
      <w:r w:rsidR="00EF25FE" w:rsidRPr="00BC36E7">
        <w:rPr>
          <w:lang w:val="en-GB" w:eastAsia="en-GB"/>
        </w:rPr>
        <w:t xml:space="preserve">with the </w:t>
      </w:r>
      <w:r w:rsidR="00EF25FE">
        <w:rPr>
          <w:lang w:val="en-GB" w:eastAsia="en-GB"/>
        </w:rPr>
        <w:t>G</w:t>
      </w:r>
      <w:r w:rsidR="00EF25FE" w:rsidRPr="00BC36E7">
        <w:rPr>
          <w:lang w:val="en-GB" w:eastAsia="en-GB"/>
        </w:rPr>
        <w:t xml:space="preserve">overning </w:t>
      </w:r>
      <w:r w:rsidR="00EF25FE">
        <w:rPr>
          <w:lang w:val="en-GB" w:eastAsia="en-GB"/>
        </w:rPr>
        <w:t>B</w:t>
      </w:r>
      <w:r w:rsidR="00EF25FE" w:rsidRPr="00BC36E7">
        <w:rPr>
          <w:lang w:val="en-GB" w:eastAsia="en-GB"/>
        </w:rPr>
        <w:t xml:space="preserve">ody taking overall responsibility for this process and the fundamental risk appetite of the </w:t>
      </w:r>
      <w:r w:rsidR="00EF25FE">
        <w:rPr>
          <w:lang w:val="en-GB" w:eastAsia="en-GB"/>
        </w:rPr>
        <w:t>F</w:t>
      </w:r>
      <w:r w:rsidR="00EF25FE" w:rsidRPr="00BC36E7">
        <w:rPr>
          <w:lang w:val="en-GB" w:eastAsia="en-GB"/>
        </w:rPr>
        <w:t xml:space="preserve">irm. </w:t>
      </w:r>
      <w:r w:rsidR="00EF25FE">
        <w:rPr>
          <w:lang w:val="en-GB" w:eastAsia="en-GB"/>
        </w:rPr>
        <w:t xml:space="preserve">The </w:t>
      </w:r>
      <w:r w:rsidR="00617876">
        <w:rPr>
          <w:lang w:val="en-GB" w:eastAsia="en-GB"/>
        </w:rPr>
        <w:t xml:space="preserve">Head of </w:t>
      </w:r>
      <w:r w:rsidR="005E58AF">
        <w:rPr>
          <w:lang w:val="en-GB" w:eastAsia="en-GB"/>
        </w:rPr>
        <w:t>Risk</w:t>
      </w:r>
      <w:r w:rsidR="00EF25FE">
        <w:rPr>
          <w:lang w:val="en-GB" w:eastAsia="en-GB"/>
        </w:rPr>
        <w:t xml:space="preserve"> Officer</w:t>
      </w:r>
      <w:r w:rsidR="00EF25FE" w:rsidRPr="00BC36E7">
        <w:rPr>
          <w:lang w:val="en-GB" w:eastAsia="en-GB"/>
        </w:rPr>
        <w:t xml:space="preserve"> has responsibility for the implementation and enforcement of the Firm’s risk principles.</w:t>
      </w:r>
    </w:p>
    <w:p w14:paraId="7D6C677C" w14:textId="77777777" w:rsidR="00D94007" w:rsidRDefault="00D94007" w:rsidP="00245D0D">
      <w:pPr>
        <w:jc w:val="both"/>
        <w:rPr>
          <w:lang w:val="en-GB" w:eastAsia="en-GB"/>
        </w:rPr>
      </w:pPr>
    </w:p>
    <w:p w14:paraId="1162A1D6" w14:textId="1DA927E6" w:rsidR="00EF25FE" w:rsidRPr="00BC36E7" w:rsidRDefault="001104AC" w:rsidP="00245D0D">
      <w:pPr>
        <w:jc w:val="both"/>
        <w:rPr>
          <w:lang w:val="en-GB" w:eastAsia="en-GB"/>
        </w:rPr>
      </w:pPr>
      <w:r>
        <w:rPr>
          <w:lang w:val="en-GB" w:eastAsia="en-GB"/>
        </w:rPr>
        <w:lastRenderedPageBreak/>
        <w:t xml:space="preserve">The risk management framework includes a suite of </w:t>
      </w:r>
      <w:r w:rsidRPr="001104AC">
        <w:rPr>
          <w:lang w:val="en-GB" w:eastAsia="en-GB"/>
        </w:rPr>
        <w:t>polic</w:t>
      </w:r>
      <w:r>
        <w:rPr>
          <w:lang w:val="en-GB" w:eastAsia="en-GB"/>
        </w:rPr>
        <w:t>ies</w:t>
      </w:r>
      <w:r w:rsidRPr="001104AC">
        <w:rPr>
          <w:lang w:val="en-GB" w:eastAsia="en-GB"/>
        </w:rPr>
        <w:t xml:space="preserve"> and procedures </w:t>
      </w:r>
      <w:r>
        <w:rPr>
          <w:lang w:val="en-GB" w:eastAsia="en-GB"/>
        </w:rPr>
        <w:t>with</w:t>
      </w:r>
      <w:r w:rsidRPr="001104AC">
        <w:rPr>
          <w:lang w:val="en-GB" w:eastAsia="en-GB"/>
        </w:rPr>
        <w:t xml:space="preserve"> regard to the relevant laws, standards, principles, and rules (including FCA principles and rules) with the aim to operate a defined and transparent risk management framework. These policies and procedures are updated as required</w:t>
      </w:r>
      <w:r w:rsidR="0031211E">
        <w:rPr>
          <w:lang w:val="en-GB" w:eastAsia="en-GB"/>
        </w:rPr>
        <w:t>.</w:t>
      </w:r>
    </w:p>
    <w:p w14:paraId="0FE73A21" w14:textId="3E29CD96" w:rsidR="00EF25FE" w:rsidRDefault="00EF25FE" w:rsidP="00EF25FE">
      <w:pPr>
        <w:jc w:val="both"/>
        <w:rPr>
          <w:lang w:val="en-GB" w:eastAsia="en-GB"/>
        </w:rPr>
      </w:pPr>
      <w:r w:rsidRPr="00BC36E7">
        <w:rPr>
          <w:lang w:val="en-GB" w:eastAsia="en-GB"/>
        </w:rPr>
        <w:t>Annually</w:t>
      </w:r>
      <w:r>
        <w:rPr>
          <w:lang w:val="en-GB" w:eastAsia="en-GB"/>
        </w:rPr>
        <w:t>,</w:t>
      </w:r>
      <w:r w:rsidRPr="00BC36E7">
        <w:rPr>
          <w:lang w:val="en-GB" w:eastAsia="en-GB"/>
        </w:rPr>
        <w:t xml:space="preserve"> the Firm formally reviews its </w:t>
      </w:r>
      <w:r w:rsidR="00621970">
        <w:rPr>
          <w:lang w:val="en-GB" w:eastAsia="en-GB"/>
        </w:rPr>
        <w:t xml:space="preserve">overall risk appetite. This is supported by the periodic review of </w:t>
      </w:r>
      <w:r w:rsidRPr="00BC36E7">
        <w:rPr>
          <w:lang w:val="en-GB" w:eastAsia="en-GB"/>
        </w:rPr>
        <w:t>risks, controls</w:t>
      </w:r>
      <w:r>
        <w:rPr>
          <w:lang w:val="en-GB" w:eastAsia="en-GB"/>
        </w:rPr>
        <w:t>,</w:t>
      </w:r>
      <w:r w:rsidRPr="00BC36E7">
        <w:rPr>
          <w:lang w:val="en-GB" w:eastAsia="en-GB"/>
        </w:rPr>
        <w:t xml:space="preserve"> and other risk mitigation arrangements and assess</w:t>
      </w:r>
      <w:r>
        <w:rPr>
          <w:lang w:val="en-GB" w:eastAsia="en-GB"/>
        </w:rPr>
        <w:t>es</w:t>
      </w:r>
      <w:r w:rsidRPr="00BC36E7">
        <w:rPr>
          <w:lang w:val="en-GB" w:eastAsia="en-GB"/>
        </w:rPr>
        <w:t xml:space="preserve"> their effectiveness</w:t>
      </w:r>
      <w:r w:rsidR="004F7A18">
        <w:rPr>
          <w:lang w:val="en-GB" w:eastAsia="en-GB"/>
        </w:rPr>
        <w:t>;</w:t>
      </w:r>
      <w:r w:rsidRPr="00BC36E7">
        <w:rPr>
          <w:lang w:val="en-GB" w:eastAsia="en-GB"/>
        </w:rPr>
        <w:t xml:space="preserve"> the conclusions to </w:t>
      </w:r>
      <w:r>
        <w:rPr>
          <w:lang w:val="en-GB" w:eastAsia="en-GB"/>
        </w:rPr>
        <w:t>th</w:t>
      </w:r>
      <w:r w:rsidR="00AB5516">
        <w:rPr>
          <w:lang w:val="en-GB" w:eastAsia="en-GB"/>
        </w:rPr>
        <w:t>e</w:t>
      </w:r>
      <w:r>
        <w:rPr>
          <w:lang w:val="en-GB" w:eastAsia="en-GB"/>
        </w:rPr>
        <w:t>s</w:t>
      </w:r>
      <w:r w:rsidR="00AB5516">
        <w:rPr>
          <w:lang w:val="en-GB" w:eastAsia="en-GB"/>
        </w:rPr>
        <w:t>e</w:t>
      </w:r>
      <w:r w:rsidR="004F7A18">
        <w:rPr>
          <w:lang w:val="en-GB" w:eastAsia="en-GB"/>
        </w:rPr>
        <w:t xml:space="preserve"> review</w:t>
      </w:r>
      <w:r w:rsidR="00AB5516">
        <w:rPr>
          <w:lang w:val="en-GB" w:eastAsia="en-GB"/>
        </w:rPr>
        <w:t>s</w:t>
      </w:r>
      <w:r>
        <w:rPr>
          <w:lang w:val="en-GB" w:eastAsia="en-GB"/>
        </w:rPr>
        <w:t xml:space="preserve"> </w:t>
      </w:r>
      <w:r w:rsidR="004F7A18">
        <w:rPr>
          <w:lang w:val="en-GB" w:eastAsia="en-GB"/>
        </w:rPr>
        <w:t>inform</w:t>
      </w:r>
      <w:r w:rsidRPr="00BC36E7">
        <w:rPr>
          <w:lang w:val="en-GB" w:eastAsia="en-GB"/>
        </w:rPr>
        <w:t xml:space="preserve"> the overall risk appetite of the Firm.</w:t>
      </w:r>
    </w:p>
    <w:p w14:paraId="723A47E4" w14:textId="5B14A599" w:rsidR="005536E0" w:rsidRPr="00BC36E7" w:rsidRDefault="005536E0" w:rsidP="00EF25FE">
      <w:pPr>
        <w:jc w:val="both"/>
        <w:rPr>
          <w:lang w:val="en-GB" w:eastAsia="en-GB"/>
        </w:rPr>
      </w:pPr>
      <w:r w:rsidRPr="00BC36E7">
        <w:rPr>
          <w:lang w:val="en-GB" w:eastAsia="en-GB"/>
        </w:rPr>
        <w:t xml:space="preserve">Appropriate action is taken where risks are identified </w:t>
      </w:r>
      <w:r>
        <w:rPr>
          <w:lang w:val="en-GB" w:eastAsia="en-GB"/>
        </w:rPr>
        <w:t>that</w:t>
      </w:r>
      <w:r w:rsidRPr="00BC36E7">
        <w:rPr>
          <w:lang w:val="en-GB" w:eastAsia="en-GB"/>
        </w:rPr>
        <w:t xml:space="preserve"> fall outside of the Firm’s</w:t>
      </w:r>
      <w:r w:rsidR="00022DF9">
        <w:rPr>
          <w:lang w:val="en-GB" w:eastAsia="en-GB"/>
        </w:rPr>
        <w:t xml:space="preserve"> appetite</w:t>
      </w:r>
      <w:r w:rsidRPr="00BC36E7">
        <w:rPr>
          <w:lang w:val="en-GB" w:eastAsia="en-GB"/>
        </w:rPr>
        <w:t xml:space="preserve"> levels or where the need for remedial action is required in respect of identified weaknesses in </w:t>
      </w:r>
      <w:r>
        <w:rPr>
          <w:lang w:val="en-GB" w:eastAsia="en-GB"/>
        </w:rPr>
        <w:t>MS A</w:t>
      </w:r>
      <w:r w:rsidR="00F75DD0">
        <w:rPr>
          <w:lang w:val="en-GB" w:eastAsia="en-GB"/>
        </w:rPr>
        <w:t>IML</w:t>
      </w:r>
      <w:r w:rsidRPr="00BC36E7">
        <w:rPr>
          <w:lang w:val="en-GB" w:eastAsia="en-GB"/>
        </w:rPr>
        <w:t>’s mitigating controls.</w:t>
      </w:r>
    </w:p>
    <w:p w14:paraId="0F3F7EB5" w14:textId="2671CBA5" w:rsidR="005F688B" w:rsidRDefault="005536E0" w:rsidP="00EF25FE">
      <w:pPr>
        <w:jc w:val="both"/>
        <w:rPr>
          <w:lang w:val="en-GB" w:eastAsia="en-GB"/>
        </w:rPr>
      </w:pPr>
      <w:r w:rsidRPr="00BC36E7">
        <w:rPr>
          <w:lang w:val="en-GB" w:eastAsia="en-GB"/>
        </w:rPr>
        <w:t xml:space="preserve">The </w:t>
      </w:r>
      <w:r w:rsidRPr="001104AC">
        <w:rPr>
          <w:lang w:val="en-GB" w:eastAsia="en-GB"/>
        </w:rPr>
        <w:t>Governing Body</w:t>
      </w:r>
      <w:r w:rsidRPr="00BC36E7">
        <w:rPr>
          <w:lang w:val="en-GB" w:eastAsia="en-GB"/>
        </w:rPr>
        <w:t xml:space="preserve"> meets on a regular basis and discuss</w:t>
      </w:r>
      <w:r>
        <w:rPr>
          <w:lang w:val="en-GB" w:eastAsia="en-GB"/>
        </w:rPr>
        <w:t>es</w:t>
      </w:r>
      <w:r w:rsidRPr="00BC36E7">
        <w:rPr>
          <w:lang w:val="en-GB" w:eastAsia="en-GB"/>
        </w:rPr>
        <w:t xml:space="preserve"> current projections for  cash flow, regulatory capital management, business planning and risk management. </w:t>
      </w:r>
      <w:r w:rsidR="00EF25FE" w:rsidRPr="00BC36E7">
        <w:rPr>
          <w:lang w:val="en-GB" w:eastAsia="en-GB"/>
        </w:rPr>
        <w:t xml:space="preserve">A formal update on operational matters is provided to the </w:t>
      </w:r>
      <w:r w:rsidR="00EF25FE" w:rsidRPr="001104AC">
        <w:rPr>
          <w:lang w:val="en-GB" w:eastAsia="en-GB"/>
        </w:rPr>
        <w:t>Governing Body</w:t>
      </w:r>
      <w:r w:rsidR="00EF25FE" w:rsidRPr="00BC36E7">
        <w:rPr>
          <w:lang w:val="en-GB" w:eastAsia="en-GB"/>
        </w:rPr>
        <w:t xml:space="preserve"> on a </w:t>
      </w:r>
      <w:r w:rsidR="00EF25FE" w:rsidRPr="00245D0D">
        <w:rPr>
          <w:lang w:val="en-GB" w:eastAsia="en-GB"/>
        </w:rPr>
        <w:t>regular</w:t>
      </w:r>
      <w:r w:rsidR="00EF25FE" w:rsidRPr="00BC36E7">
        <w:rPr>
          <w:lang w:val="en-GB" w:eastAsia="en-GB"/>
        </w:rPr>
        <w:t xml:space="preserve"> basis. Management accounts demonstrat</w:t>
      </w:r>
      <w:r w:rsidR="00EF25FE">
        <w:rPr>
          <w:lang w:val="en-GB" w:eastAsia="en-GB"/>
        </w:rPr>
        <w:t>ing the</w:t>
      </w:r>
      <w:r w:rsidR="00EF25FE" w:rsidRPr="00BC36E7">
        <w:rPr>
          <w:lang w:val="en-GB" w:eastAsia="en-GB"/>
        </w:rPr>
        <w:t xml:space="preserve"> continued adequacy of </w:t>
      </w:r>
      <w:r w:rsidR="00531412">
        <w:rPr>
          <w:lang w:val="en-GB" w:eastAsia="en-GB"/>
        </w:rPr>
        <w:t>MS A</w:t>
      </w:r>
      <w:r w:rsidR="00F75DD0">
        <w:rPr>
          <w:lang w:val="en-GB" w:eastAsia="en-GB"/>
        </w:rPr>
        <w:t>IML</w:t>
      </w:r>
      <w:r w:rsidR="00EF25FE" w:rsidRPr="00BC36E7">
        <w:rPr>
          <w:lang w:val="en-GB" w:eastAsia="en-GB"/>
        </w:rPr>
        <w:t>’s regulatory capital are reviewed on a regular basis.</w:t>
      </w:r>
    </w:p>
    <w:p w14:paraId="0FFCA56A" w14:textId="77777777" w:rsidR="005F688B" w:rsidRPr="00245D0D" w:rsidRDefault="005F688B" w:rsidP="00F501B4">
      <w:pPr>
        <w:pStyle w:val="Heading3"/>
        <w:rPr>
          <w:rFonts w:ascii="Arial" w:eastAsia="Times New Roman" w:hAnsi="Arial" w:cs="Times New Roman"/>
          <w:b/>
          <w:bCs/>
          <w:i w:val="0"/>
          <w:iCs w:val="0"/>
          <w:color w:val="000000"/>
          <w:sz w:val="32"/>
          <w:szCs w:val="26"/>
          <w:lang w:val="en-GB" w:eastAsia="en-GB"/>
        </w:rPr>
      </w:pPr>
      <w:r w:rsidRPr="00245D0D">
        <w:rPr>
          <w:rFonts w:ascii="Arial" w:eastAsia="Times New Roman" w:hAnsi="Arial" w:cs="Times New Roman"/>
          <w:b/>
          <w:bCs/>
          <w:i w:val="0"/>
          <w:iCs w:val="0"/>
          <w:color w:val="000000"/>
          <w:sz w:val="32"/>
          <w:szCs w:val="26"/>
          <w:lang w:val="en-GB" w:eastAsia="en-GB"/>
        </w:rPr>
        <w:t xml:space="preserve">Governance Arrangements </w:t>
      </w:r>
    </w:p>
    <w:p w14:paraId="6A629764" w14:textId="77777777" w:rsidR="005F688B" w:rsidRPr="005C7187" w:rsidRDefault="005F688B" w:rsidP="005F688B">
      <w:pPr>
        <w:jc w:val="both"/>
        <w:rPr>
          <w:rFonts w:ascii="Arial" w:eastAsia="Times New Roman" w:hAnsi="Arial" w:cs="Arial"/>
          <w:color w:val="000000"/>
          <w:sz w:val="20"/>
          <w:szCs w:val="20"/>
          <w:lang w:val="en-GB" w:eastAsia="en-GB"/>
        </w:rPr>
      </w:pPr>
      <w:r>
        <w:rPr>
          <w:rFonts w:ascii="Arial" w:eastAsia="Times New Roman" w:hAnsi="Arial" w:cs="Arial"/>
          <w:b/>
          <w:bCs/>
          <w:color w:val="000000"/>
          <w:sz w:val="22"/>
          <w:szCs w:val="22"/>
          <w:lang w:val="en-GB" w:eastAsia="en-GB"/>
        </w:rPr>
        <w:t>Overview</w:t>
      </w:r>
    </w:p>
    <w:p w14:paraId="6356C6E5" w14:textId="769E2E23" w:rsidR="005F688B" w:rsidRPr="00502E4D" w:rsidRDefault="00531412" w:rsidP="005F688B">
      <w:pPr>
        <w:jc w:val="both"/>
        <w:rPr>
          <w:lang w:val="en-GB" w:eastAsia="en-GB"/>
        </w:rPr>
      </w:pPr>
      <w:r>
        <w:rPr>
          <w:lang w:val="en-GB" w:eastAsia="en-GB"/>
        </w:rPr>
        <w:t>MS A</w:t>
      </w:r>
      <w:r w:rsidR="00F75DD0">
        <w:rPr>
          <w:lang w:val="en-GB" w:eastAsia="en-GB"/>
        </w:rPr>
        <w:t>IML</w:t>
      </w:r>
      <w:r w:rsidR="005F688B" w:rsidRPr="00502E4D">
        <w:rPr>
          <w:lang w:val="en-GB" w:eastAsia="en-GB"/>
        </w:rPr>
        <w:t xml:space="preserve"> believes that effective governance arrangements help the Firm </w:t>
      </w:r>
      <w:r w:rsidR="00502E4D">
        <w:rPr>
          <w:lang w:val="en-GB" w:eastAsia="en-GB"/>
        </w:rPr>
        <w:t xml:space="preserve">to </w:t>
      </w:r>
      <w:r w:rsidR="005F688B" w:rsidRPr="00502E4D">
        <w:rPr>
          <w:lang w:val="en-GB" w:eastAsia="en-GB"/>
        </w:rPr>
        <w:t xml:space="preserve">achieve its  objectives while also ensuring that the risks to the Firm, its </w:t>
      </w:r>
      <w:r w:rsidR="00502E4D">
        <w:rPr>
          <w:lang w:val="en-GB" w:eastAsia="en-GB"/>
        </w:rPr>
        <w:t>stakeholders,</w:t>
      </w:r>
      <w:r w:rsidR="005F688B" w:rsidRPr="00502E4D">
        <w:rPr>
          <w:lang w:val="en-GB" w:eastAsia="en-GB"/>
        </w:rPr>
        <w:t xml:space="preserve"> and the wider market are identified, managed</w:t>
      </w:r>
      <w:r w:rsidR="00502E4D">
        <w:rPr>
          <w:lang w:val="en-GB" w:eastAsia="en-GB"/>
        </w:rPr>
        <w:t>,</w:t>
      </w:r>
      <w:r w:rsidR="005F688B" w:rsidRPr="00502E4D">
        <w:rPr>
          <w:lang w:val="en-GB" w:eastAsia="en-GB"/>
        </w:rPr>
        <w:t xml:space="preserve"> and mitigated.</w:t>
      </w:r>
    </w:p>
    <w:p w14:paraId="13192ACB" w14:textId="00C8946C" w:rsidR="005F688B" w:rsidRPr="00502E4D" w:rsidRDefault="005F688B" w:rsidP="005F688B">
      <w:pPr>
        <w:jc w:val="both"/>
        <w:rPr>
          <w:lang w:val="en-GB" w:eastAsia="en-GB"/>
        </w:rPr>
      </w:pPr>
      <w:r w:rsidRPr="00502E4D">
        <w:rPr>
          <w:lang w:val="en-GB" w:eastAsia="en-GB"/>
        </w:rPr>
        <w:t xml:space="preserve">The </w:t>
      </w:r>
      <w:r w:rsidR="00502E4D">
        <w:rPr>
          <w:lang w:val="en-GB" w:eastAsia="en-GB"/>
        </w:rPr>
        <w:t>Governing Body</w:t>
      </w:r>
      <w:r w:rsidRPr="00502E4D">
        <w:rPr>
          <w:lang w:val="en-GB" w:eastAsia="en-GB"/>
        </w:rPr>
        <w:t xml:space="preserve"> has overall responsibility for </w:t>
      </w:r>
      <w:r w:rsidR="00531412">
        <w:rPr>
          <w:lang w:val="en-GB" w:eastAsia="en-GB"/>
        </w:rPr>
        <w:t>MS A</w:t>
      </w:r>
      <w:r w:rsidR="00F75DD0">
        <w:rPr>
          <w:lang w:val="en-GB" w:eastAsia="en-GB"/>
        </w:rPr>
        <w:t>IML</w:t>
      </w:r>
      <w:r w:rsidRPr="00502E4D">
        <w:rPr>
          <w:lang w:val="en-GB" w:eastAsia="en-GB"/>
        </w:rPr>
        <w:t xml:space="preserve"> and is therefore responsible for defining and overseeing the governance arrangements at the Firm.</w:t>
      </w:r>
    </w:p>
    <w:p w14:paraId="478B5AED" w14:textId="2D5CF392" w:rsidR="005F688B" w:rsidRPr="00502E4D" w:rsidRDefault="005F688B" w:rsidP="005F688B">
      <w:pPr>
        <w:jc w:val="both"/>
        <w:rPr>
          <w:lang w:val="en-GB" w:eastAsia="en-GB"/>
        </w:rPr>
      </w:pPr>
      <w:r w:rsidRPr="00502E4D">
        <w:rPr>
          <w:lang w:val="en-GB" w:eastAsia="en-GB"/>
        </w:rPr>
        <w:t xml:space="preserve">In order to </w:t>
      </w:r>
      <w:r w:rsidR="00502E4D">
        <w:rPr>
          <w:lang w:val="en-GB" w:eastAsia="en-GB"/>
        </w:rPr>
        <w:t>fulfil</w:t>
      </w:r>
      <w:r w:rsidRPr="00502E4D">
        <w:rPr>
          <w:lang w:val="en-GB" w:eastAsia="en-GB"/>
        </w:rPr>
        <w:t xml:space="preserve"> its responsibilities, the </w:t>
      </w:r>
      <w:r w:rsidR="00502E4D">
        <w:rPr>
          <w:lang w:val="en-GB" w:eastAsia="en-GB"/>
        </w:rPr>
        <w:t>Governing Body</w:t>
      </w:r>
      <w:r w:rsidRPr="00502E4D">
        <w:rPr>
          <w:lang w:val="en-GB" w:eastAsia="en-GB"/>
        </w:rPr>
        <w:t xml:space="preserve"> meets </w:t>
      </w:r>
      <w:r w:rsidR="00617876">
        <w:rPr>
          <w:lang w:val="en-GB" w:eastAsia="en-GB"/>
        </w:rPr>
        <w:t xml:space="preserve">at least </w:t>
      </w:r>
      <w:r w:rsidRPr="00502E4D">
        <w:rPr>
          <w:lang w:val="en-GB" w:eastAsia="en-GB"/>
        </w:rPr>
        <w:t xml:space="preserve">on </w:t>
      </w:r>
      <w:r w:rsidRPr="00245D0D">
        <w:rPr>
          <w:lang w:val="en-GB" w:eastAsia="en-GB"/>
        </w:rPr>
        <w:t>a quarterly basis</w:t>
      </w:r>
      <w:r w:rsidRPr="00502E4D">
        <w:rPr>
          <w:lang w:val="en-GB" w:eastAsia="en-GB"/>
        </w:rPr>
        <w:t xml:space="preserve">. Amongst other things, the </w:t>
      </w:r>
      <w:r w:rsidR="00E51F90">
        <w:rPr>
          <w:lang w:val="en-GB" w:eastAsia="en-GB"/>
        </w:rPr>
        <w:t>Governing Body</w:t>
      </w:r>
      <w:r w:rsidRPr="00502E4D">
        <w:rPr>
          <w:lang w:val="en-GB" w:eastAsia="en-GB"/>
        </w:rPr>
        <w:t xml:space="preserve"> approves and oversees </w:t>
      </w:r>
      <w:r w:rsidR="00C40327">
        <w:rPr>
          <w:lang w:val="en-GB" w:eastAsia="en-GB"/>
        </w:rPr>
        <w:t xml:space="preserve">the </w:t>
      </w:r>
      <w:r w:rsidRPr="00502E4D">
        <w:rPr>
          <w:lang w:val="en-GB" w:eastAsia="en-GB"/>
        </w:rPr>
        <w:t>implementation of the Firm's  objectives and risk appetite</w:t>
      </w:r>
      <w:r w:rsidR="00C40327">
        <w:rPr>
          <w:lang w:val="en-GB" w:eastAsia="en-GB"/>
        </w:rPr>
        <w:t>,</w:t>
      </w:r>
      <w:r w:rsidRPr="00502E4D">
        <w:rPr>
          <w:lang w:val="en-GB" w:eastAsia="en-GB"/>
        </w:rPr>
        <w:t xml:space="preserve"> ensures the integrity of the Firm's accounting and financial reporting systems, including financial and operational controls</w:t>
      </w:r>
      <w:r w:rsidR="00867F3A">
        <w:rPr>
          <w:lang w:val="en-GB" w:eastAsia="en-GB"/>
        </w:rPr>
        <w:t>,</w:t>
      </w:r>
      <w:r w:rsidRPr="00502E4D">
        <w:rPr>
          <w:lang w:val="en-GB" w:eastAsia="en-GB"/>
        </w:rPr>
        <w:t xml:space="preserve"> </w:t>
      </w:r>
      <w:r w:rsidR="00867F3A">
        <w:rPr>
          <w:lang w:val="en-GB" w:eastAsia="en-GB"/>
        </w:rPr>
        <w:t xml:space="preserve">ensures </w:t>
      </w:r>
      <w:r w:rsidRPr="00502E4D">
        <w:rPr>
          <w:lang w:val="en-GB" w:eastAsia="en-GB"/>
        </w:rPr>
        <w:t xml:space="preserve">compliance with the </w:t>
      </w:r>
      <w:r w:rsidR="00867F3A">
        <w:rPr>
          <w:lang w:val="en-GB" w:eastAsia="en-GB"/>
        </w:rPr>
        <w:t xml:space="preserve">requirements of the </w:t>
      </w:r>
      <w:r w:rsidRPr="00502E4D">
        <w:rPr>
          <w:lang w:val="en-GB" w:eastAsia="en-GB"/>
        </w:rPr>
        <w:t>regulatory system</w:t>
      </w:r>
      <w:r w:rsidR="00867F3A">
        <w:rPr>
          <w:lang w:val="en-GB" w:eastAsia="en-GB"/>
        </w:rPr>
        <w:t>,</w:t>
      </w:r>
      <w:r w:rsidRPr="00502E4D">
        <w:rPr>
          <w:lang w:val="en-GB" w:eastAsia="en-GB"/>
        </w:rPr>
        <w:t xml:space="preserve"> assesses the adequacy of policies relating to the provision of services to clients</w:t>
      </w:r>
      <w:r w:rsidR="00867F3A">
        <w:rPr>
          <w:lang w:val="en-GB" w:eastAsia="en-GB"/>
        </w:rPr>
        <w:t>,</w:t>
      </w:r>
      <w:r w:rsidRPr="00502E4D">
        <w:rPr>
          <w:lang w:val="en-GB" w:eastAsia="en-GB"/>
        </w:rPr>
        <w:t xml:space="preserve"> and provides oversight of the Firm’s senior management.</w:t>
      </w:r>
    </w:p>
    <w:p w14:paraId="482C243E" w14:textId="3FF80417" w:rsidR="005F688B" w:rsidRPr="00502E4D" w:rsidRDefault="005F688B" w:rsidP="005F688B">
      <w:pPr>
        <w:jc w:val="both"/>
        <w:rPr>
          <w:lang w:val="en-GB" w:eastAsia="en-GB"/>
        </w:rPr>
      </w:pPr>
      <w:r w:rsidRPr="00502E4D">
        <w:rPr>
          <w:lang w:val="en-GB" w:eastAsia="en-GB"/>
        </w:rPr>
        <w:t xml:space="preserve">A key </w:t>
      </w:r>
      <w:r w:rsidR="003E7510">
        <w:rPr>
          <w:lang w:val="en-GB" w:eastAsia="en-GB"/>
        </w:rPr>
        <w:t>document</w:t>
      </w:r>
      <w:r w:rsidRPr="00502E4D">
        <w:rPr>
          <w:lang w:val="en-GB" w:eastAsia="en-GB"/>
        </w:rPr>
        <w:t xml:space="preserve"> that is reviewed, discussed</w:t>
      </w:r>
      <w:r w:rsidR="00867F3A">
        <w:rPr>
          <w:lang w:val="en-GB" w:eastAsia="en-GB"/>
        </w:rPr>
        <w:t>,</w:t>
      </w:r>
      <w:r w:rsidRPr="00502E4D">
        <w:rPr>
          <w:lang w:val="en-GB" w:eastAsia="en-GB"/>
        </w:rPr>
        <w:t xml:space="preserve"> and ratified by the </w:t>
      </w:r>
      <w:r w:rsidR="00867F3A">
        <w:rPr>
          <w:lang w:val="en-GB" w:eastAsia="en-GB"/>
        </w:rPr>
        <w:t xml:space="preserve">Governing Body </w:t>
      </w:r>
      <w:r w:rsidRPr="00502E4D">
        <w:rPr>
          <w:lang w:val="en-GB" w:eastAsia="en-GB"/>
        </w:rPr>
        <w:t xml:space="preserve">at least annually is the Senior Management Systems and Controls </w:t>
      </w:r>
      <w:r w:rsidR="003E7510">
        <w:rPr>
          <w:lang w:val="en-GB" w:eastAsia="en-GB"/>
        </w:rPr>
        <w:t>D</w:t>
      </w:r>
      <w:r w:rsidRPr="00502E4D">
        <w:rPr>
          <w:lang w:val="en-GB" w:eastAsia="en-GB"/>
        </w:rPr>
        <w:t>ocument</w:t>
      </w:r>
      <w:r w:rsidR="003E7510">
        <w:rPr>
          <w:lang w:val="en-GB" w:eastAsia="en-GB"/>
        </w:rPr>
        <w:t xml:space="preserve"> (“SYSC Document”)</w:t>
      </w:r>
      <w:r w:rsidRPr="00502E4D">
        <w:rPr>
          <w:lang w:val="en-GB" w:eastAsia="en-GB"/>
        </w:rPr>
        <w:t xml:space="preserve">, as this demonstrates how the Firm has met its </w:t>
      </w:r>
      <w:r w:rsidR="003E7510">
        <w:rPr>
          <w:lang w:val="en-GB" w:eastAsia="en-GB"/>
        </w:rPr>
        <w:t>obligations with regard to its governance arrangements</w:t>
      </w:r>
      <w:r w:rsidRPr="00502E4D">
        <w:rPr>
          <w:lang w:val="en-GB" w:eastAsia="en-GB"/>
        </w:rPr>
        <w:t xml:space="preserve">. The SYSC </w:t>
      </w:r>
      <w:r w:rsidR="003E7510">
        <w:rPr>
          <w:lang w:val="en-GB" w:eastAsia="en-GB"/>
        </w:rPr>
        <w:t>D</w:t>
      </w:r>
      <w:r w:rsidRPr="00502E4D">
        <w:rPr>
          <w:lang w:val="en-GB" w:eastAsia="en-GB"/>
        </w:rPr>
        <w:t xml:space="preserve">ocument provides the </w:t>
      </w:r>
      <w:r w:rsidR="003E7510">
        <w:rPr>
          <w:lang w:val="en-GB" w:eastAsia="en-GB"/>
        </w:rPr>
        <w:t>Governing Body</w:t>
      </w:r>
      <w:r w:rsidRPr="00502E4D">
        <w:rPr>
          <w:lang w:val="en-GB" w:eastAsia="en-GB"/>
        </w:rPr>
        <w:t xml:space="preserve"> with information on the functioning and performance of all aspects of the Firm, including the following areas:</w:t>
      </w:r>
    </w:p>
    <w:p w14:paraId="017661C2" w14:textId="77777777" w:rsidR="00D94007" w:rsidRDefault="00D94007" w:rsidP="00D94007">
      <w:pPr>
        <w:pStyle w:val="ListParagraph"/>
        <w:numPr>
          <w:ilvl w:val="0"/>
          <w:numId w:val="0"/>
        </w:numPr>
        <w:ind w:left="720"/>
        <w:jc w:val="both"/>
        <w:rPr>
          <w:lang w:val="en-GB" w:eastAsia="en-GB"/>
        </w:rPr>
      </w:pPr>
    </w:p>
    <w:p w14:paraId="607738CF" w14:textId="42CB0472" w:rsidR="005F688B" w:rsidRPr="006F7F5D" w:rsidRDefault="003E7510" w:rsidP="00B17FDE">
      <w:pPr>
        <w:pStyle w:val="ListParagraph"/>
        <w:numPr>
          <w:ilvl w:val="0"/>
          <w:numId w:val="10"/>
        </w:numPr>
        <w:jc w:val="both"/>
        <w:rPr>
          <w:lang w:val="en-GB" w:eastAsia="en-GB"/>
        </w:rPr>
      </w:pPr>
      <w:r w:rsidRPr="006F7F5D">
        <w:rPr>
          <w:lang w:val="en-GB" w:eastAsia="en-GB"/>
        </w:rPr>
        <w:lastRenderedPageBreak/>
        <w:t>G</w:t>
      </w:r>
      <w:r w:rsidR="005F688B" w:rsidRPr="006F7F5D">
        <w:rPr>
          <w:lang w:val="en-GB" w:eastAsia="en-GB"/>
        </w:rPr>
        <w:t>eneral organi</w:t>
      </w:r>
      <w:r w:rsidR="00DC1BA4" w:rsidRPr="006F7F5D">
        <w:rPr>
          <w:lang w:val="en-GB" w:eastAsia="en-GB"/>
        </w:rPr>
        <w:t>s</w:t>
      </w:r>
      <w:r w:rsidR="005F688B" w:rsidRPr="006F7F5D">
        <w:rPr>
          <w:lang w:val="en-GB" w:eastAsia="en-GB"/>
        </w:rPr>
        <w:t>ational requirements, including steps taken by the Firm to ensure continuity and regularity in the performance of its regulated activities</w:t>
      </w:r>
      <w:r w:rsidR="00DC1BA4" w:rsidRPr="006F7F5D">
        <w:rPr>
          <w:lang w:val="en-GB" w:eastAsia="en-GB"/>
        </w:rPr>
        <w:t>,</w:t>
      </w:r>
      <w:r w:rsidR="005F688B" w:rsidRPr="006F7F5D">
        <w:rPr>
          <w:lang w:val="en-GB" w:eastAsia="en-GB"/>
        </w:rPr>
        <w:t xml:space="preserve"> and the Firm’s account</w:t>
      </w:r>
      <w:r w:rsidR="00DC1BA4" w:rsidRPr="006F7F5D">
        <w:rPr>
          <w:lang w:val="en-GB" w:eastAsia="en-GB"/>
        </w:rPr>
        <w:t>ing</w:t>
      </w:r>
      <w:r w:rsidR="005F688B" w:rsidRPr="006F7F5D">
        <w:rPr>
          <w:lang w:val="en-GB" w:eastAsia="en-GB"/>
        </w:rPr>
        <w:t xml:space="preserve"> policies</w:t>
      </w:r>
      <w:r w:rsidR="00112C65">
        <w:rPr>
          <w:lang w:val="en-GB" w:eastAsia="en-GB"/>
        </w:rPr>
        <w:t>;</w:t>
      </w:r>
      <w:r w:rsidR="00DC1BA4" w:rsidRPr="006F7F5D">
        <w:rPr>
          <w:lang w:val="en-GB" w:eastAsia="en-GB"/>
        </w:rPr>
        <w:t xml:space="preserve"> </w:t>
      </w:r>
    </w:p>
    <w:p w14:paraId="58CB58AE" w14:textId="2B19EF9E" w:rsidR="005F688B" w:rsidRPr="006F7F5D" w:rsidRDefault="00DC1BA4" w:rsidP="00B17FDE">
      <w:pPr>
        <w:pStyle w:val="ListParagraph"/>
        <w:numPr>
          <w:ilvl w:val="0"/>
          <w:numId w:val="10"/>
        </w:numPr>
        <w:jc w:val="both"/>
        <w:rPr>
          <w:lang w:val="en-GB" w:eastAsia="en-GB"/>
        </w:rPr>
      </w:pPr>
      <w:r w:rsidRPr="006F7F5D">
        <w:rPr>
          <w:lang w:val="en-GB" w:eastAsia="en-GB"/>
        </w:rPr>
        <w:t>E</w:t>
      </w:r>
      <w:r w:rsidR="005F688B" w:rsidRPr="006F7F5D">
        <w:rPr>
          <w:lang w:val="en-GB" w:eastAsia="en-GB"/>
        </w:rPr>
        <w:t>mployees, including steps taken by the Firm to ensure that employees have the necessary skills, knowledge</w:t>
      </w:r>
      <w:r w:rsidRPr="006F7F5D">
        <w:rPr>
          <w:lang w:val="en-GB" w:eastAsia="en-GB"/>
        </w:rPr>
        <w:t>,</w:t>
      </w:r>
      <w:r w:rsidR="005F688B" w:rsidRPr="006F7F5D">
        <w:rPr>
          <w:lang w:val="en-GB" w:eastAsia="en-GB"/>
        </w:rPr>
        <w:t xml:space="preserve"> and expertise for the discharge of the responsibilities allocated to them, and to ensure that they are fit and proper persons</w:t>
      </w:r>
      <w:r w:rsidR="00112C65">
        <w:rPr>
          <w:lang w:val="en-GB" w:eastAsia="en-GB"/>
        </w:rPr>
        <w:t>;</w:t>
      </w:r>
    </w:p>
    <w:p w14:paraId="0C15F23E" w14:textId="1D0A469C" w:rsidR="005F688B" w:rsidRPr="006F7F5D" w:rsidRDefault="006F7F5D" w:rsidP="00B17FDE">
      <w:pPr>
        <w:pStyle w:val="ListParagraph"/>
        <w:numPr>
          <w:ilvl w:val="0"/>
          <w:numId w:val="10"/>
        </w:numPr>
        <w:jc w:val="both"/>
        <w:rPr>
          <w:lang w:val="en-GB" w:eastAsia="en-GB"/>
        </w:rPr>
      </w:pPr>
      <w:r w:rsidRPr="006F7F5D">
        <w:rPr>
          <w:lang w:val="en-GB" w:eastAsia="en-GB"/>
        </w:rPr>
        <w:t xml:space="preserve">Policies, procedures, and controls </w:t>
      </w:r>
      <w:r w:rsidR="005F688B" w:rsidRPr="006F7F5D">
        <w:rPr>
          <w:lang w:val="en-GB" w:eastAsia="en-GB"/>
        </w:rPr>
        <w:t xml:space="preserve">for meeting </w:t>
      </w:r>
      <w:r w:rsidRPr="006F7F5D">
        <w:rPr>
          <w:lang w:val="en-GB" w:eastAsia="en-GB"/>
        </w:rPr>
        <w:t xml:space="preserve">its </w:t>
      </w:r>
      <w:r w:rsidR="005F688B" w:rsidRPr="006F7F5D">
        <w:rPr>
          <w:lang w:val="en-GB" w:eastAsia="en-GB"/>
        </w:rPr>
        <w:t>compliance and financial crime requirements</w:t>
      </w:r>
      <w:r w:rsidR="00112C65">
        <w:rPr>
          <w:lang w:val="en-GB" w:eastAsia="en-GB"/>
        </w:rPr>
        <w:t>;</w:t>
      </w:r>
    </w:p>
    <w:p w14:paraId="40FADEA2" w14:textId="2E4389B7" w:rsidR="005F688B" w:rsidRPr="006F7F5D" w:rsidRDefault="006F7F5D" w:rsidP="00B17FDE">
      <w:pPr>
        <w:pStyle w:val="ListParagraph"/>
        <w:numPr>
          <w:ilvl w:val="0"/>
          <w:numId w:val="10"/>
        </w:numPr>
        <w:jc w:val="both"/>
        <w:rPr>
          <w:lang w:val="en-GB" w:eastAsia="en-GB"/>
        </w:rPr>
      </w:pPr>
      <w:r w:rsidRPr="006F7F5D">
        <w:rPr>
          <w:lang w:val="en-GB" w:eastAsia="en-GB"/>
        </w:rPr>
        <w:t>Internal</w:t>
      </w:r>
      <w:r w:rsidR="005F688B" w:rsidRPr="006F7F5D">
        <w:rPr>
          <w:lang w:val="en-GB" w:eastAsia="en-GB"/>
        </w:rPr>
        <w:t xml:space="preserve"> capital adequacy and risk assessment process</w:t>
      </w:r>
      <w:r w:rsidR="00112C65">
        <w:rPr>
          <w:lang w:val="en-GB" w:eastAsia="en-GB"/>
        </w:rPr>
        <w:t>;</w:t>
      </w:r>
    </w:p>
    <w:p w14:paraId="733BC9D6" w14:textId="70071069" w:rsidR="005F688B" w:rsidRPr="006F7F5D" w:rsidRDefault="006F7F5D" w:rsidP="00B17FDE">
      <w:pPr>
        <w:pStyle w:val="ListParagraph"/>
        <w:numPr>
          <w:ilvl w:val="0"/>
          <w:numId w:val="10"/>
        </w:numPr>
        <w:jc w:val="both"/>
        <w:rPr>
          <w:lang w:val="en-GB" w:eastAsia="en-GB"/>
        </w:rPr>
      </w:pPr>
      <w:r w:rsidRPr="006F7F5D">
        <w:rPr>
          <w:lang w:val="en-GB" w:eastAsia="en-GB"/>
        </w:rPr>
        <w:t>O</w:t>
      </w:r>
      <w:r w:rsidR="005F688B" w:rsidRPr="006F7F5D">
        <w:rPr>
          <w:lang w:val="en-GB" w:eastAsia="en-GB"/>
        </w:rPr>
        <w:t>utsourcing of critical or material operating functions or activities</w:t>
      </w:r>
      <w:r w:rsidR="00112C65">
        <w:rPr>
          <w:lang w:val="en-GB" w:eastAsia="en-GB"/>
        </w:rPr>
        <w:t>;</w:t>
      </w:r>
    </w:p>
    <w:p w14:paraId="57BB008A" w14:textId="5A0D91AA" w:rsidR="005F688B" w:rsidRPr="006F7F5D" w:rsidRDefault="006F7F5D" w:rsidP="00B17FDE">
      <w:pPr>
        <w:pStyle w:val="ListParagraph"/>
        <w:numPr>
          <w:ilvl w:val="0"/>
          <w:numId w:val="10"/>
        </w:numPr>
        <w:jc w:val="both"/>
        <w:rPr>
          <w:lang w:val="en-GB" w:eastAsia="en-GB"/>
        </w:rPr>
      </w:pPr>
      <w:r w:rsidRPr="006F7F5D">
        <w:rPr>
          <w:lang w:val="en-GB" w:eastAsia="en-GB"/>
        </w:rPr>
        <w:t>R</w:t>
      </w:r>
      <w:r w:rsidR="005F688B" w:rsidRPr="006F7F5D">
        <w:rPr>
          <w:lang w:val="en-GB" w:eastAsia="en-GB"/>
        </w:rPr>
        <w:t>ecord-keeping controls and arrangements</w:t>
      </w:r>
      <w:r w:rsidR="00112C65">
        <w:rPr>
          <w:lang w:val="en-GB" w:eastAsia="en-GB"/>
        </w:rPr>
        <w:t>;</w:t>
      </w:r>
    </w:p>
    <w:p w14:paraId="3C109A41" w14:textId="559A1AF8" w:rsidR="005F688B" w:rsidRPr="006F7F5D" w:rsidRDefault="006F7F5D" w:rsidP="00B17FDE">
      <w:pPr>
        <w:pStyle w:val="ListParagraph"/>
        <w:numPr>
          <w:ilvl w:val="0"/>
          <w:numId w:val="10"/>
        </w:numPr>
        <w:jc w:val="both"/>
        <w:rPr>
          <w:lang w:val="en-GB" w:eastAsia="en-GB"/>
        </w:rPr>
      </w:pPr>
      <w:r w:rsidRPr="006F7F5D">
        <w:rPr>
          <w:lang w:val="en-GB" w:eastAsia="en-GB"/>
        </w:rPr>
        <w:t>C</w:t>
      </w:r>
      <w:r w:rsidR="005F688B" w:rsidRPr="006F7F5D">
        <w:rPr>
          <w:lang w:val="en-GB" w:eastAsia="en-GB"/>
        </w:rPr>
        <w:t>onflicts of interest management</w:t>
      </w:r>
      <w:r w:rsidR="00112C65">
        <w:rPr>
          <w:lang w:val="en-GB" w:eastAsia="en-GB"/>
        </w:rPr>
        <w:t>;</w:t>
      </w:r>
    </w:p>
    <w:p w14:paraId="63FA8D92" w14:textId="6ACBCF33" w:rsidR="005F688B" w:rsidRPr="006F7F5D" w:rsidRDefault="006F7F5D" w:rsidP="00B17FDE">
      <w:pPr>
        <w:pStyle w:val="ListParagraph"/>
        <w:numPr>
          <w:ilvl w:val="0"/>
          <w:numId w:val="10"/>
        </w:numPr>
        <w:jc w:val="both"/>
        <w:rPr>
          <w:lang w:val="en-GB" w:eastAsia="en-GB"/>
        </w:rPr>
      </w:pPr>
      <w:r w:rsidRPr="006F7F5D">
        <w:rPr>
          <w:lang w:val="en-GB" w:eastAsia="en-GB"/>
        </w:rPr>
        <w:t>R</w:t>
      </w:r>
      <w:r w:rsidR="005F688B" w:rsidRPr="006F7F5D">
        <w:rPr>
          <w:lang w:val="en-GB" w:eastAsia="en-GB"/>
        </w:rPr>
        <w:t>emuneration policies and practices; and</w:t>
      </w:r>
    </w:p>
    <w:p w14:paraId="1E1611B4" w14:textId="44C1F3B7" w:rsidR="005F688B" w:rsidRPr="006F7F5D" w:rsidRDefault="006F7F5D" w:rsidP="00B17FDE">
      <w:pPr>
        <w:pStyle w:val="ListParagraph"/>
        <w:numPr>
          <w:ilvl w:val="0"/>
          <w:numId w:val="10"/>
        </w:numPr>
        <w:jc w:val="both"/>
        <w:rPr>
          <w:lang w:val="en-GB" w:eastAsia="en-GB"/>
        </w:rPr>
      </w:pPr>
      <w:r w:rsidRPr="006F7F5D">
        <w:rPr>
          <w:lang w:val="en-GB" w:eastAsia="en-GB"/>
        </w:rPr>
        <w:t>W</w:t>
      </w:r>
      <w:r w:rsidR="005F688B" w:rsidRPr="006F7F5D">
        <w:rPr>
          <w:lang w:val="en-GB" w:eastAsia="en-GB"/>
        </w:rPr>
        <w:t>histleblowing controls.</w:t>
      </w:r>
    </w:p>
    <w:p w14:paraId="4FB1DCF0" w14:textId="292AF1D6" w:rsidR="005F688B" w:rsidRDefault="005F688B" w:rsidP="005F688B">
      <w:pPr>
        <w:jc w:val="both"/>
        <w:rPr>
          <w:rFonts w:ascii="Arial" w:eastAsia="Times New Roman" w:hAnsi="Arial" w:cs="Arial"/>
          <w:b/>
          <w:bCs/>
          <w:color w:val="000000"/>
          <w:sz w:val="22"/>
          <w:szCs w:val="22"/>
          <w:lang w:val="en-GB" w:eastAsia="en-GB"/>
        </w:rPr>
      </w:pPr>
      <w:bookmarkStart w:id="0" w:name="_Hlk111129312"/>
      <w:r>
        <w:rPr>
          <w:rFonts w:ascii="Arial" w:eastAsia="Times New Roman" w:hAnsi="Arial" w:cs="Arial"/>
          <w:b/>
          <w:bCs/>
          <w:color w:val="000000"/>
          <w:sz w:val="22"/>
          <w:szCs w:val="22"/>
          <w:lang w:val="en-GB" w:eastAsia="en-GB"/>
        </w:rPr>
        <w:t xml:space="preserve">The </w:t>
      </w:r>
      <w:r w:rsidR="0085236D">
        <w:rPr>
          <w:rFonts w:ascii="Arial" w:eastAsia="Times New Roman" w:hAnsi="Arial" w:cs="Arial"/>
          <w:b/>
          <w:bCs/>
          <w:color w:val="000000"/>
          <w:sz w:val="22"/>
          <w:szCs w:val="22"/>
          <w:lang w:val="en-GB" w:eastAsia="en-GB"/>
        </w:rPr>
        <w:t>Management Body</w:t>
      </w:r>
      <w:r w:rsidR="004A6193">
        <w:rPr>
          <w:rFonts w:ascii="Arial" w:eastAsia="Times New Roman" w:hAnsi="Arial" w:cs="Arial"/>
          <w:b/>
          <w:bCs/>
          <w:color w:val="000000"/>
          <w:sz w:val="22"/>
          <w:szCs w:val="22"/>
          <w:lang w:val="en-GB" w:eastAsia="en-GB"/>
        </w:rPr>
        <w:t xml:space="preserve"> </w:t>
      </w:r>
      <w:r w:rsidR="002D66BE">
        <w:rPr>
          <w:rFonts w:ascii="Arial" w:eastAsia="Times New Roman" w:hAnsi="Arial" w:cs="Arial"/>
          <w:b/>
          <w:bCs/>
          <w:color w:val="000000"/>
          <w:sz w:val="22"/>
          <w:szCs w:val="22"/>
          <w:lang w:val="en-GB" w:eastAsia="en-GB"/>
        </w:rPr>
        <w:t>as at 31 December 2025:</w:t>
      </w:r>
    </w:p>
    <w:p w14:paraId="69E9C605" w14:textId="10EA26F4" w:rsidR="00636224" w:rsidRDefault="00636224" w:rsidP="005F688B">
      <w:pPr>
        <w:jc w:val="both"/>
        <w:rPr>
          <w:rFonts w:ascii="Arial" w:eastAsia="Times New Roman" w:hAnsi="Arial" w:cs="Arial"/>
          <w:b/>
          <w:bCs/>
          <w:color w:val="000000"/>
          <w:sz w:val="22"/>
          <w:szCs w:val="22"/>
          <w:lang w:val="en-GB" w:eastAsia="en-GB"/>
        </w:rPr>
      </w:pPr>
      <w:r>
        <w:rPr>
          <w:rFonts w:ascii="Arial" w:eastAsia="Times New Roman" w:hAnsi="Arial" w:cs="Arial"/>
          <w:b/>
          <w:bCs/>
          <w:color w:val="000000"/>
          <w:sz w:val="22"/>
          <w:szCs w:val="22"/>
          <w:lang w:val="en-GB" w:eastAsia="en-GB"/>
        </w:rPr>
        <w:t>Anna Troup</w:t>
      </w:r>
      <w:r w:rsidR="002D66BE" w:rsidRPr="00535C92">
        <w:rPr>
          <w:rFonts w:ascii="Arial" w:eastAsia="Times New Roman" w:hAnsi="Arial" w:cs="Arial"/>
          <w:color w:val="000000"/>
          <w:sz w:val="22"/>
          <w:szCs w:val="22"/>
          <w:lang w:val="en-GB" w:eastAsia="en-GB"/>
        </w:rPr>
        <w:t xml:space="preserve"> (Resigned 31 January 2026)</w:t>
      </w:r>
    </w:p>
    <w:p w14:paraId="698B6E84" w14:textId="77777777" w:rsidR="00636224" w:rsidRPr="00D3155C" w:rsidRDefault="00636224" w:rsidP="00636224">
      <w:pPr>
        <w:jc w:val="both"/>
        <w:rPr>
          <w:lang w:val="en-GB" w:eastAsia="en-GB"/>
        </w:rPr>
      </w:pPr>
      <w:r w:rsidRPr="00D3155C">
        <w:rPr>
          <w:lang w:val="en-GB" w:eastAsia="en-GB"/>
        </w:rPr>
        <w:t>Anna Troup gained her first degree in PPE at Christ Church, Oxford University and then qualified as a solicitor at Slaughter and May. She is a Chartered Governance professional (ACIS) and a member of the Chartered Institute of Arbitrators.</w:t>
      </w:r>
    </w:p>
    <w:p w14:paraId="251BB371" w14:textId="77777777" w:rsidR="00636224" w:rsidRPr="00D3155C" w:rsidRDefault="00636224" w:rsidP="00636224">
      <w:pPr>
        <w:jc w:val="both"/>
        <w:rPr>
          <w:lang w:val="en-GB" w:eastAsia="en-GB"/>
        </w:rPr>
      </w:pPr>
      <w:r w:rsidRPr="00D3155C">
        <w:rPr>
          <w:lang w:val="en-GB" w:eastAsia="en-GB"/>
        </w:rPr>
        <w:t>She has extensive financial services experience in both executive and non-executive roles. Her executive career included 10 years at Goldman Sachs, and she was a partner at BlueBay Asset Management and Head of UK Bespoke Solutions at Legal &amp; General Investment Management.</w:t>
      </w:r>
    </w:p>
    <w:p w14:paraId="08F3CE89" w14:textId="59EBD5B9" w:rsidR="00636224" w:rsidRDefault="00636224" w:rsidP="00636224">
      <w:pPr>
        <w:jc w:val="both"/>
        <w:rPr>
          <w:lang w:val="en-GB" w:eastAsia="en-GB"/>
        </w:rPr>
      </w:pPr>
      <w:r w:rsidRPr="00D3155C">
        <w:rPr>
          <w:lang w:val="en-GB" w:eastAsia="en-GB"/>
        </w:rPr>
        <w:t>She is currently a non-executive director on the board of AustralianSuper (UK) Ltd and a non-executive director on the board of Marathon Asset Management Ltd.</w:t>
      </w:r>
    </w:p>
    <w:p w14:paraId="7BDA8B0E" w14:textId="77777777" w:rsidR="00B267F2" w:rsidRPr="00DC2BB9" w:rsidRDefault="00B267F2" w:rsidP="00B267F2">
      <w:pPr>
        <w:jc w:val="both"/>
        <w:rPr>
          <w:rFonts w:ascii="Arial" w:eastAsia="Times New Roman" w:hAnsi="Arial" w:cs="Arial"/>
          <w:b/>
          <w:bCs/>
          <w:color w:val="000000"/>
          <w:sz w:val="22"/>
          <w:szCs w:val="22"/>
          <w:lang w:val="en-GB" w:eastAsia="en-GB"/>
        </w:rPr>
      </w:pPr>
      <w:r w:rsidRPr="00DC2BB9">
        <w:rPr>
          <w:rFonts w:ascii="Arial" w:eastAsia="Times New Roman" w:hAnsi="Arial" w:cs="Arial"/>
          <w:b/>
          <w:bCs/>
          <w:color w:val="000000"/>
          <w:sz w:val="22"/>
          <w:szCs w:val="22"/>
          <w:lang w:val="en-GB" w:eastAsia="en-GB"/>
        </w:rPr>
        <w:t>Chris Place</w:t>
      </w:r>
    </w:p>
    <w:p w14:paraId="7524CAB8" w14:textId="50C12B38" w:rsidR="00B267F2" w:rsidRDefault="00B267F2" w:rsidP="00B267F2">
      <w:pPr>
        <w:jc w:val="both"/>
        <w:rPr>
          <w:lang w:val="en-GB" w:eastAsia="en-GB"/>
        </w:rPr>
      </w:pPr>
      <w:r w:rsidRPr="00D3155C">
        <w:rPr>
          <w:lang w:val="en-GB" w:eastAsia="en-GB"/>
        </w:rPr>
        <w:t>Chris Place is MS A</w:t>
      </w:r>
      <w:r>
        <w:rPr>
          <w:lang w:val="en-GB" w:eastAsia="en-GB"/>
        </w:rPr>
        <w:t>IML</w:t>
      </w:r>
      <w:r w:rsidRPr="00D3155C">
        <w:rPr>
          <w:lang w:val="en-GB" w:eastAsia="en-GB"/>
        </w:rPr>
        <w:t xml:space="preserve">’s </w:t>
      </w:r>
      <w:r>
        <w:rPr>
          <w:lang w:val="en-GB" w:eastAsia="en-GB"/>
        </w:rPr>
        <w:t xml:space="preserve">Interim </w:t>
      </w:r>
      <w:r w:rsidRPr="00D3155C">
        <w:rPr>
          <w:lang w:val="en-GB" w:eastAsia="en-GB"/>
        </w:rPr>
        <w:t xml:space="preserve">Chief </w:t>
      </w:r>
      <w:r>
        <w:rPr>
          <w:lang w:val="en-GB" w:eastAsia="en-GB"/>
        </w:rPr>
        <w:t xml:space="preserve">Executive </w:t>
      </w:r>
      <w:r w:rsidRPr="00D3155C">
        <w:rPr>
          <w:lang w:val="en-GB" w:eastAsia="en-GB"/>
        </w:rPr>
        <w:t xml:space="preserve">Officer </w:t>
      </w:r>
      <w:r>
        <w:rPr>
          <w:lang w:val="en-GB" w:eastAsia="en-GB"/>
        </w:rPr>
        <w:t>and was previously the Firm’s Chief Risk Officer. H</w:t>
      </w:r>
      <w:r w:rsidRPr="00D3155C">
        <w:rPr>
          <w:lang w:val="en-GB" w:eastAsia="en-GB"/>
        </w:rPr>
        <w:t xml:space="preserve">e joined the MS Amlin </w:t>
      </w:r>
      <w:r>
        <w:rPr>
          <w:lang w:val="en-GB" w:eastAsia="en-GB"/>
        </w:rPr>
        <w:t xml:space="preserve">group’s </w:t>
      </w:r>
      <w:r w:rsidRPr="00D3155C">
        <w:rPr>
          <w:lang w:val="en-GB" w:eastAsia="en-GB"/>
        </w:rPr>
        <w:t xml:space="preserve">Corporate Risk function in 2014 – Prior experience includes both actuarial and investment consulting, working with a variety of clients predominantly focused on Defined Benefit pension schemes and multi-asset portfolios.  </w:t>
      </w:r>
    </w:p>
    <w:p w14:paraId="59CA1873" w14:textId="53388A55" w:rsidR="00B267F2" w:rsidRPr="00D3155C" w:rsidRDefault="00B267F2" w:rsidP="00636224">
      <w:pPr>
        <w:jc w:val="both"/>
        <w:rPr>
          <w:lang w:val="en-GB" w:eastAsia="en-GB"/>
        </w:rPr>
      </w:pPr>
      <w:r w:rsidRPr="00D3155C">
        <w:rPr>
          <w:lang w:val="en-GB" w:eastAsia="en-GB"/>
        </w:rPr>
        <w:t>He graduated from the University of Birmingham with a degree in mathematics and is a CFA Charter holder.</w:t>
      </w:r>
    </w:p>
    <w:p w14:paraId="492F6F8E" w14:textId="77777777" w:rsidR="00745353" w:rsidRDefault="00745353" w:rsidP="00636224">
      <w:pPr>
        <w:jc w:val="both"/>
        <w:rPr>
          <w:rFonts w:ascii="Arial" w:eastAsia="Times New Roman" w:hAnsi="Arial" w:cs="Arial"/>
          <w:b/>
          <w:bCs/>
          <w:color w:val="000000"/>
          <w:sz w:val="22"/>
          <w:szCs w:val="22"/>
          <w:lang w:val="en-GB" w:eastAsia="en-GB"/>
        </w:rPr>
      </w:pPr>
    </w:p>
    <w:p w14:paraId="180E321A" w14:textId="223E4024" w:rsidR="00D94007" w:rsidRPr="00CB094F" w:rsidRDefault="00636224" w:rsidP="00636224">
      <w:pPr>
        <w:jc w:val="both"/>
        <w:rPr>
          <w:rFonts w:ascii="Arial" w:eastAsia="Times New Roman" w:hAnsi="Arial" w:cs="Arial"/>
          <w:b/>
          <w:bCs/>
          <w:color w:val="000000"/>
          <w:sz w:val="22"/>
          <w:szCs w:val="22"/>
          <w:lang w:val="en-GB" w:eastAsia="en-GB"/>
        </w:rPr>
      </w:pPr>
      <w:r w:rsidRPr="00DC2BB9">
        <w:rPr>
          <w:rFonts w:ascii="Arial" w:eastAsia="Times New Roman" w:hAnsi="Arial" w:cs="Arial"/>
          <w:b/>
          <w:bCs/>
          <w:color w:val="000000"/>
          <w:sz w:val="22"/>
          <w:szCs w:val="22"/>
          <w:lang w:val="en-GB" w:eastAsia="en-GB"/>
        </w:rPr>
        <w:t>Paul Amer</w:t>
      </w:r>
    </w:p>
    <w:p w14:paraId="04562F9A" w14:textId="4C0CA254" w:rsidR="00636224" w:rsidRPr="00D3155C" w:rsidRDefault="00636224" w:rsidP="00636224">
      <w:pPr>
        <w:jc w:val="both"/>
        <w:rPr>
          <w:lang w:val="en-GB" w:eastAsia="en-GB"/>
        </w:rPr>
      </w:pPr>
      <w:r w:rsidRPr="00D3155C">
        <w:rPr>
          <w:lang w:val="en-GB" w:eastAsia="en-GB"/>
        </w:rPr>
        <w:lastRenderedPageBreak/>
        <w:t>Paul Amer is MS A</w:t>
      </w:r>
      <w:r w:rsidR="00F75DD0">
        <w:rPr>
          <w:lang w:val="en-GB" w:eastAsia="en-GB"/>
        </w:rPr>
        <w:t>IML</w:t>
      </w:r>
      <w:r w:rsidRPr="00D3155C">
        <w:rPr>
          <w:lang w:val="en-GB" w:eastAsia="en-GB"/>
        </w:rPr>
        <w:t xml:space="preserve">’s Chief Investment Officer, a Chartered Financial Analyst charter holder and holds the Investment Management Certificate.  He also has a BSocSc Economics and Statistics from the University of Birmingham. </w:t>
      </w:r>
    </w:p>
    <w:p w14:paraId="6555F66E" w14:textId="5C727CD5" w:rsidR="00636224" w:rsidRPr="00D3155C" w:rsidRDefault="00636224" w:rsidP="00636224">
      <w:pPr>
        <w:jc w:val="both"/>
        <w:rPr>
          <w:lang w:val="en-GB" w:eastAsia="en-GB"/>
        </w:rPr>
      </w:pPr>
      <w:r w:rsidRPr="00D3155C">
        <w:rPr>
          <w:lang w:val="en-GB" w:eastAsia="en-GB"/>
        </w:rPr>
        <w:t>Mr Amer has extensive experience in the investment management industry. His previous roles include Investment Manager at Insight Investment 2005-2015. Moreover, Mr Amer has been working in MS Amlin</w:t>
      </w:r>
      <w:r w:rsidR="00733017">
        <w:rPr>
          <w:lang w:val="en-GB" w:eastAsia="en-GB"/>
        </w:rPr>
        <w:t xml:space="preserve"> group</w:t>
      </w:r>
      <w:r w:rsidRPr="00D3155C">
        <w:rPr>
          <w:lang w:val="en-GB" w:eastAsia="en-GB"/>
        </w:rPr>
        <w:t xml:space="preserve"> </w:t>
      </w:r>
      <w:r w:rsidR="00733017">
        <w:rPr>
          <w:lang w:val="en-GB" w:eastAsia="en-GB"/>
        </w:rPr>
        <w:t>i</w:t>
      </w:r>
      <w:r w:rsidRPr="00D3155C">
        <w:rPr>
          <w:lang w:val="en-GB" w:eastAsia="en-GB"/>
        </w:rPr>
        <w:t xml:space="preserve">nvestment </w:t>
      </w:r>
      <w:r w:rsidR="00733017">
        <w:rPr>
          <w:lang w:val="en-GB" w:eastAsia="en-GB"/>
        </w:rPr>
        <w:t>d</w:t>
      </w:r>
      <w:r w:rsidRPr="00D3155C">
        <w:rPr>
          <w:lang w:val="en-GB" w:eastAsia="en-GB"/>
        </w:rPr>
        <w:t>epartment</w:t>
      </w:r>
      <w:r w:rsidR="00733017">
        <w:rPr>
          <w:lang w:val="en-GB" w:eastAsia="en-GB"/>
        </w:rPr>
        <w:t>s</w:t>
      </w:r>
      <w:r w:rsidRPr="00D3155C">
        <w:rPr>
          <w:lang w:val="en-GB" w:eastAsia="en-GB"/>
        </w:rPr>
        <w:t xml:space="preserve"> since June 2015 and has demonstrated an in-depth knowledge of the business generally and of MS Amlin’s investment related activities.</w:t>
      </w:r>
    </w:p>
    <w:bookmarkEnd w:id="0"/>
    <w:p w14:paraId="423A77B2" w14:textId="10A2B1EC" w:rsidR="005F688B" w:rsidRPr="0085236D" w:rsidRDefault="00531412" w:rsidP="005F688B">
      <w:pPr>
        <w:jc w:val="both"/>
        <w:rPr>
          <w:lang w:val="en-GB" w:eastAsia="en-GB"/>
        </w:rPr>
      </w:pPr>
      <w:r>
        <w:rPr>
          <w:lang w:val="en-GB" w:eastAsia="en-GB"/>
        </w:rPr>
        <w:t>MS A</w:t>
      </w:r>
      <w:r w:rsidR="00F75DD0">
        <w:rPr>
          <w:lang w:val="en-GB" w:eastAsia="en-GB"/>
        </w:rPr>
        <w:t>IML</w:t>
      </w:r>
      <w:r w:rsidR="008969D1">
        <w:rPr>
          <w:lang w:val="en-GB" w:eastAsia="en-GB"/>
        </w:rPr>
        <w:t xml:space="preserve">’s management body is the Governing Body. </w:t>
      </w:r>
      <w:r w:rsidR="005F688B" w:rsidRPr="0085236D">
        <w:rPr>
          <w:lang w:val="en-GB" w:eastAsia="en-GB"/>
        </w:rPr>
        <w:t>The below table provides the number of directorships held by each member of the management body</w:t>
      </w:r>
      <w:r w:rsidR="00B267F2">
        <w:rPr>
          <w:lang w:val="en-GB" w:eastAsia="en-GB"/>
        </w:rPr>
        <w:t xml:space="preserve"> as at 31 December 2025</w:t>
      </w:r>
      <w:r w:rsidR="005F688B" w:rsidRPr="0085236D">
        <w:rPr>
          <w:lang w:val="en-GB" w:eastAsia="en-GB"/>
        </w:rPr>
        <w:t>:</w:t>
      </w:r>
    </w:p>
    <w:tbl>
      <w:tblPr>
        <w:tblW w:w="9913" w:type="dxa"/>
        <w:tblLook w:val="04A0" w:firstRow="1" w:lastRow="0" w:firstColumn="1" w:lastColumn="0" w:noHBand="0" w:noVBand="1"/>
      </w:tblPr>
      <w:tblGrid>
        <w:gridCol w:w="3251"/>
        <w:gridCol w:w="3402"/>
        <w:gridCol w:w="1559"/>
        <w:gridCol w:w="1701"/>
      </w:tblGrid>
      <w:tr w:rsidR="005F688B" w:rsidRPr="008E1561" w14:paraId="34936C91" w14:textId="77777777" w:rsidTr="008969D1">
        <w:trPr>
          <w:trHeight w:val="276"/>
        </w:trPr>
        <w:tc>
          <w:tcPr>
            <w:tcW w:w="3251" w:type="dxa"/>
            <w:vMerge w:val="restart"/>
            <w:tcBorders>
              <w:top w:val="single" w:sz="8" w:space="0" w:color="auto"/>
              <w:left w:val="single" w:sz="8" w:space="0" w:color="auto"/>
              <w:right w:val="single" w:sz="4" w:space="0" w:color="auto"/>
            </w:tcBorders>
            <w:shd w:val="clear" w:color="auto" w:fill="006CA9"/>
            <w:noWrap/>
            <w:vAlign w:val="bottom"/>
            <w:hideMark/>
          </w:tcPr>
          <w:p w14:paraId="580EC566" w14:textId="77777777" w:rsidR="005F688B" w:rsidRPr="008969D1" w:rsidRDefault="005F688B" w:rsidP="00B17FDE">
            <w:pPr>
              <w:spacing w:before="0" w:after="0"/>
              <w:jc w:val="both"/>
              <w:rPr>
                <w:rFonts w:ascii="Arial" w:eastAsia="Times New Roman" w:hAnsi="Arial" w:cs="Arial"/>
                <w:b/>
                <w:bCs/>
                <w:color w:val="FFFFFF" w:themeColor="background1"/>
                <w:lang w:val="en-GB" w:eastAsia="en-GB"/>
              </w:rPr>
            </w:pPr>
            <w:r w:rsidRPr="008969D1">
              <w:rPr>
                <w:rFonts w:ascii="Arial" w:eastAsia="Times New Roman" w:hAnsi="Arial" w:cs="Arial"/>
                <w:b/>
                <w:bCs/>
                <w:color w:val="FFFFFF" w:themeColor="background1"/>
                <w:lang w:val="en-GB" w:eastAsia="en-GB"/>
              </w:rPr>
              <w:t> </w:t>
            </w:r>
          </w:p>
          <w:p w14:paraId="49B7BCCF" w14:textId="60BF27FC" w:rsidR="005F688B" w:rsidRPr="008969D1" w:rsidRDefault="005F688B" w:rsidP="00B17FDE">
            <w:pPr>
              <w:spacing w:before="0" w:after="0"/>
              <w:jc w:val="both"/>
              <w:rPr>
                <w:rFonts w:ascii="Arial" w:eastAsia="Times New Roman" w:hAnsi="Arial" w:cs="Arial"/>
                <w:b/>
                <w:bCs/>
                <w:color w:val="FFFFFF" w:themeColor="background1"/>
                <w:lang w:val="en-GB" w:eastAsia="en-GB"/>
              </w:rPr>
            </w:pPr>
            <w:r w:rsidRPr="008969D1">
              <w:rPr>
                <w:rFonts w:ascii="Arial" w:eastAsia="Times New Roman" w:hAnsi="Arial" w:cs="Arial"/>
                <w:b/>
                <w:bCs/>
                <w:color w:val="FFFFFF" w:themeColor="background1"/>
                <w:lang w:val="en-GB" w:eastAsia="en-GB"/>
              </w:rPr>
              <w:t xml:space="preserve">Management </w:t>
            </w:r>
            <w:r w:rsidR="008969D1" w:rsidRPr="008969D1">
              <w:rPr>
                <w:rFonts w:ascii="Arial" w:eastAsia="Times New Roman" w:hAnsi="Arial" w:cs="Arial"/>
                <w:b/>
                <w:bCs/>
                <w:color w:val="FFFFFF" w:themeColor="background1"/>
                <w:lang w:val="en-GB" w:eastAsia="en-GB"/>
              </w:rPr>
              <w:t>B</w:t>
            </w:r>
            <w:r w:rsidRPr="008969D1">
              <w:rPr>
                <w:rFonts w:ascii="Arial" w:eastAsia="Times New Roman" w:hAnsi="Arial" w:cs="Arial"/>
                <w:b/>
                <w:bCs/>
                <w:color w:val="FFFFFF" w:themeColor="background1"/>
                <w:lang w:val="en-GB" w:eastAsia="en-GB"/>
              </w:rPr>
              <w:t xml:space="preserve">ody </w:t>
            </w:r>
            <w:r w:rsidR="008969D1" w:rsidRPr="008969D1">
              <w:rPr>
                <w:rFonts w:ascii="Arial" w:eastAsia="Times New Roman" w:hAnsi="Arial" w:cs="Arial"/>
                <w:b/>
                <w:bCs/>
                <w:color w:val="FFFFFF" w:themeColor="background1"/>
                <w:lang w:val="en-GB" w:eastAsia="en-GB"/>
              </w:rPr>
              <w:t>M</w:t>
            </w:r>
            <w:r w:rsidRPr="008969D1">
              <w:rPr>
                <w:rFonts w:ascii="Arial" w:eastAsia="Times New Roman" w:hAnsi="Arial" w:cs="Arial"/>
                <w:b/>
                <w:bCs/>
                <w:color w:val="FFFFFF" w:themeColor="background1"/>
                <w:lang w:val="en-GB" w:eastAsia="en-GB"/>
              </w:rPr>
              <w:t>ember</w:t>
            </w:r>
          </w:p>
        </w:tc>
        <w:tc>
          <w:tcPr>
            <w:tcW w:w="3402" w:type="dxa"/>
            <w:vMerge w:val="restart"/>
            <w:tcBorders>
              <w:top w:val="single" w:sz="8" w:space="0" w:color="auto"/>
              <w:left w:val="nil"/>
              <w:right w:val="single" w:sz="4" w:space="0" w:color="auto"/>
            </w:tcBorders>
            <w:shd w:val="clear" w:color="auto" w:fill="006CA9"/>
            <w:noWrap/>
            <w:vAlign w:val="bottom"/>
            <w:hideMark/>
          </w:tcPr>
          <w:p w14:paraId="28D33A7A" w14:textId="77777777" w:rsidR="005F688B" w:rsidRPr="008969D1" w:rsidRDefault="005F688B" w:rsidP="00B17FDE">
            <w:pPr>
              <w:spacing w:before="0" w:after="0"/>
              <w:jc w:val="both"/>
              <w:rPr>
                <w:rFonts w:ascii="Arial" w:eastAsia="Times New Roman" w:hAnsi="Arial" w:cs="Arial"/>
                <w:b/>
                <w:bCs/>
                <w:color w:val="FFFFFF" w:themeColor="background1"/>
                <w:lang w:val="en-GB" w:eastAsia="en-GB"/>
              </w:rPr>
            </w:pPr>
            <w:r w:rsidRPr="008969D1">
              <w:rPr>
                <w:rFonts w:ascii="Arial" w:eastAsia="Times New Roman" w:hAnsi="Arial" w:cs="Arial"/>
                <w:b/>
                <w:bCs/>
                <w:color w:val="FFFFFF" w:themeColor="background1"/>
                <w:lang w:val="en-GB" w:eastAsia="en-GB"/>
              </w:rPr>
              <w:t> </w:t>
            </w:r>
          </w:p>
          <w:p w14:paraId="4A7715AA" w14:textId="29F6A22C" w:rsidR="005F688B" w:rsidRPr="008969D1" w:rsidRDefault="005F688B" w:rsidP="00B17FDE">
            <w:pPr>
              <w:spacing w:before="0" w:after="0"/>
              <w:jc w:val="both"/>
              <w:rPr>
                <w:rFonts w:ascii="Arial" w:eastAsia="Times New Roman" w:hAnsi="Arial" w:cs="Arial"/>
                <w:b/>
                <w:bCs/>
                <w:color w:val="FFFFFF" w:themeColor="background1"/>
                <w:lang w:val="en-GB" w:eastAsia="en-GB"/>
              </w:rPr>
            </w:pPr>
            <w:r w:rsidRPr="008969D1">
              <w:rPr>
                <w:rFonts w:ascii="Arial" w:eastAsia="Times New Roman" w:hAnsi="Arial" w:cs="Arial"/>
                <w:b/>
                <w:bCs/>
                <w:color w:val="FFFFFF" w:themeColor="background1"/>
                <w:lang w:val="en-GB" w:eastAsia="en-GB"/>
              </w:rPr>
              <w:t xml:space="preserve">Position at </w:t>
            </w:r>
            <w:r w:rsidR="00531412">
              <w:rPr>
                <w:rFonts w:ascii="Arial" w:eastAsia="Times New Roman" w:hAnsi="Arial" w:cs="Arial"/>
                <w:b/>
                <w:bCs/>
                <w:color w:val="FFFFFF" w:themeColor="background1"/>
                <w:lang w:val="en-GB" w:eastAsia="en-GB"/>
              </w:rPr>
              <w:t>MS A</w:t>
            </w:r>
            <w:r w:rsidR="00F75DD0">
              <w:rPr>
                <w:rFonts w:ascii="Arial" w:eastAsia="Times New Roman" w:hAnsi="Arial" w:cs="Arial"/>
                <w:b/>
                <w:bCs/>
                <w:color w:val="FFFFFF" w:themeColor="background1"/>
                <w:lang w:val="en-GB" w:eastAsia="en-GB"/>
              </w:rPr>
              <w:t>IML</w:t>
            </w:r>
          </w:p>
        </w:tc>
        <w:tc>
          <w:tcPr>
            <w:tcW w:w="3260" w:type="dxa"/>
            <w:gridSpan w:val="2"/>
            <w:tcBorders>
              <w:top w:val="single" w:sz="8" w:space="0" w:color="auto"/>
              <w:left w:val="nil"/>
              <w:bottom w:val="single" w:sz="4" w:space="0" w:color="auto"/>
              <w:right w:val="single" w:sz="8" w:space="0" w:color="000000"/>
            </w:tcBorders>
            <w:shd w:val="clear" w:color="auto" w:fill="006CA9"/>
            <w:noWrap/>
            <w:vAlign w:val="bottom"/>
            <w:hideMark/>
          </w:tcPr>
          <w:p w14:paraId="5586EF33" w14:textId="0B8DB4B1" w:rsidR="005F688B" w:rsidRPr="008969D1" w:rsidRDefault="005F688B" w:rsidP="00B17FDE">
            <w:pPr>
              <w:spacing w:before="0" w:after="0"/>
              <w:jc w:val="both"/>
              <w:rPr>
                <w:rFonts w:ascii="Arial" w:eastAsia="Times New Roman" w:hAnsi="Arial" w:cs="Arial"/>
                <w:b/>
                <w:bCs/>
                <w:color w:val="FFFFFF" w:themeColor="background1"/>
                <w:lang w:val="en-GB" w:eastAsia="en-GB"/>
              </w:rPr>
            </w:pPr>
            <w:r w:rsidRPr="008969D1">
              <w:rPr>
                <w:rFonts w:ascii="Arial" w:eastAsia="Times New Roman" w:hAnsi="Arial" w:cs="Arial"/>
                <w:b/>
                <w:bCs/>
                <w:color w:val="FFFFFF" w:themeColor="background1"/>
                <w:lang w:val="en-GB" w:eastAsia="en-GB"/>
              </w:rPr>
              <w:t xml:space="preserve">Number of </w:t>
            </w:r>
            <w:r w:rsidR="008969D1" w:rsidRPr="008969D1">
              <w:rPr>
                <w:rFonts w:ascii="Arial" w:eastAsia="Times New Roman" w:hAnsi="Arial" w:cs="Arial"/>
                <w:b/>
                <w:bCs/>
                <w:color w:val="FFFFFF" w:themeColor="background1"/>
                <w:lang w:val="en-GB" w:eastAsia="en-GB"/>
              </w:rPr>
              <w:t>D</w:t>
            </w:r>
            <w:r w:rsidRPr="008969D1">
              <w:rPr>
                <w:rFonts w:ascii="Arial" w:eastAsia="Times New Roman" w:hAnsi="Arial" w:cs="Arial"/>
                <w:b/>
                <w:bCs/>
                <w:color w:val="FFFFFF" w:themeColor="background1"/>
                <w:lang w:val="en-GB" w:eastAsia="en-GB"/>
              </w:rPr>
              <w:t xml:space="preserve">irectorships </w:t>
            </w:r>
            <w:r w:rsidR="008969D1" w:rsidRPr="008969D1">
              <w:rPr>
                <w:rFonts w:ascii="Arial" w:eastAsia="Times New Roman" w:hAnsi="Arial" w:cs="Arial"/>
                <w:b/>
                <w:bCs/>
                <w:color w:val="FFFFFF" w:themeColor="background1"/>
                <w:lang w:val="en-GB" w:eastAsia="en-GB"/>
              </w:rPr>
              <w:t>H</w:t>
            </w:r>
            <w:r w:rsidRPr="008969D1">
              <w:rPr>
                <w:rFonts w:ascii="Arial" w:eastAsia="Times New Roman" w:hAnsi="Arial" w:cs="Arial"/>
                <w:b/>
                <w:bCs/>
                <w:color w:val="FFFFFF" w:themeColor="background1"/>
                <w:lang w:val="en-GB" w:eastAsia="en-GB"/>
              </w:rPr>
              <w:t>eld</w:t>
            </w:r>
          </w:p>
        </w:tc>
      </w:tr>
      <w:tr w:rsidR="005F688B" w:rsidRPr="008E1561" w14:paraId="0E643012" w14:textId="77777777" w:rsidTr="008969D1">
        <w:trPr>
          <w:trHeight w:val="288"/>
        </w:trPr>
        <w:tc>
          <w:tcPr>
            <w:tcW w:w="3251" w:type="dxa"/>
            <w:vMerge/>
            <w:tcBorders>
              <w:left w:val="single" w:sz="8" w:space="0" w:color="auto"/>
              <w:bottom w:val="single" w:sz="8" w:space="0" w:color="auto"/>
              <w:right w:val="single" w:sz="4" w:space="0" w:color="auto"/>
            </w:tcBorders>
            <w:shd w:val="clear" w:color="auto" w:fill="006CA9"/>
            <w:noWrap/>
            <w:vAlign w:val="bottom"/>
            <w:hideMark/>
          </w:tcPr>
          <w:p w14:paraId="16B8C5E1" w14:textId="77777777" w:rsidR="005F688B" w:rsidRPr="008969D1" w:rsidRDefault="005F688B" w:rsidP="00B17FDE">
            <w:pPr>
              <w:spacing w:before="0" w:after="0"/>
              <w:jc w:val="both"/>
              <w:rPr>
                <w:rFonts w:ascii="Arial" w:eastAsia="Times New Roman" w:hAnsi="Arial" w:cs="Arial"/>
                <w:b/>
                <w:bCs/>
                <w:color w:val="FFFFFF" w:themeColor="background1"/>
                <w:lang w:val="en-GB" w:eastAsia="en-GB"/>
              </w:rPr>
            </w:pPr>
          </w:p>
        </w:tc>
        <w:tc>
          <w:tcPr>
            <w:tcW w:w="3402" w:type="dxa"/>
            <w:vMerge/>
            <w:tcBorders>
              <w:left w:val="nil"/>
              <w:bottom w:val="single" w:sz="8" w:space="0" w:color="auto"/>
              <w:right w:val="single" w:sz="4" w:space="0" w:color="auto"/>
            </w:tcBorders>
            <w:shd w:val="clear" w:color="auto" w:fill="006CA9"/>
            <w:noWrap/>
            <w:vAlign w:val="bottom"/>
            <w:hideMark/>
          </w:tcPr>
          <w:p w14:paraId="498BFBFD" w14:textId="77777777" w:rsidR="005F688B" w:rsidRPr="008969D1" w:rsidRDefault="005F688B" w:rsidP="00B17FDE">
            <w:pPr>
              <w:spacing w:before="0" w:after="0"/>
              <w:jc w:val="both"/>
              <w:rPr>
                <w:rFonts w:ascii="Arial" w:eastAsia="Times New Roman" w:hAnsi="Arial" w:cs="Arial"/>
                <w:b/>
                <w:bCs/>
                <w:color w:val="FFFFFF" w:themeColor="background1"/>
                <w:lang w:val="en-GB" w:eastAsia="en-GB"/>
              </w:rPr>
            </w:pPr>
          </w:p>
        </w:tc>
        <w:tc>
          <w:tcPr>
            <w:tcW w:w="1559" w:type="dxa"/>
            <w:tcBorders>
              <w:top w:val="nil"/>
              <w:left w:val="nil"/>
              <w:bottom w:val="single" w:sz="8" w:space="0" w:color="auto"/>
              <w:right w:val="single" w:sz="4" w:space="0" w:color="auto"/>
            </w:tcBorders>
            <w:shd w:val="clear" w:color="auto" w:fill="006CA9"/>
            <w:noWrap/>
            <w:vAlign w:val="bottom"/>
            <w:hideMark/>
          </w:tcPr>
          <w:p w14:paraId="1A4EFC0B" w14:textId="77777777" w:rsidR="005F688B" w:rsidRPr="008969D1" w:rsidRDefault="005F688B" w:rsidP="00B17FDE">
            <w:pPr>
              <w:spacing w:before="0" w:after="0"/>
              <w:jc w:val="both"/>
              <w:rPr>
                <w:rFonts w:ascii="Arial" w:eastAsia="Times New Roman" w:hAnsi="Arial" w:cs="Arial"/>
                <w:b/>
                <w:bCs/>
                <w:color w:val="FFFFFF" w:themeColor="background1"/>
                <w:lang w:val="en-GB" w:eastAsia="en-GB"/>
              </w:rPr>
            </w:pPr>
            <w:r w:rsidRPr="008969D1">
              <w:rPr>
                <w:rFonts w:ascii="Arial" w:eastAsia="Times New Roman" w:hAnsi="Arial" w:cs="Arial"/>
                <w:b/>
                <w:bCs/>
                <w:color w:val="FFFFFF" w:themeColor="background1"/>
                <w:lang w:val="en-GB" w:eastAsia="en-GB"/>
              </w:rPr>
              <w:t>Executive</w:t>
            </w:r>
          </w:p>
        </w:tc>
        <w:tc>
          <w:tcPr>
            <w:tcW w:w="1701" w:type="dxa"/>
            <w:tcBorders>
              <w:top w:val="nil"/>
              <w:left w:val="nil"/>
              <w:bottom w:val="single" w:sz="8" w:space="0" w:color="auto"/>
              <w:right w:val="single" w:sz="8" w:space="0" w:color="auto"/>
            </w:tcBorders>
            <w:shd w:val="clear" w:color="auto" w:fill="006CA9"/>
            <w:noWrap/>
            <w:vAlign w:val="bottom"/>
            <w:hideMark/>
          </w:tcPr>
          <w:p w14:paraId="6327F162" w14:textId="77777777" w:rsidR="005F688B" w:rsidRPr="008969D1" w:rsidRDefault="005F688B" w:rsidP="00B17FDE">
            <w:pPr>
              <w:spacing w:before="0" w:after="0"/>
              <w:jc w:val="both"/>
              <w:rPr>
                <w:rFonts w:ascii="Arial" w:eastAsia="Times New Roman" w:hAnsi="Arial" w:cs="Arial"/>
                <w:b/>
                <w:bCs/>
                <w:color w:val="FFFFFF" w:themeColor="background1"/>
                <w:lang w:val="en-GB" w:eastAsia="en-GB"/>
              </w:rPr>
            </w:pPr>
            <w:r w:rsidRPr="008969D1">
              <w:rPr>
                <w:rFonts w:ascii="Arial" w:eastAsia="Times New Roman" w:hAnsi="Arial" w:cs="Arial"/>
                <w:b/>
                <w:bCs/>
                <w:color w:val="FFFFFF" w:themeColor="background1"/>
                <w:lang w:val="en-GB" w:eastAsia="en-GB"/>
              </w:rPr>
              <w:t>Non-Executive</w:t>
            </w:r>
          </w:p>
        </w:tc>
      </w:tr>
      <w:tr w:rsidR="005F688B" w:rsidRPr="008E1561" w14:paraId="5AEB199F" w14:textId="77777777" w:rsidTr="008A35DB">
        <w:trPr>
          <w:trHeight w:val="276"/>
        </w:trPr>
        <w:tc>
          <w:tcPr>
            <w:tcW w:w="3251" w:type="dxa"/>
            <w:tcBorders>
              <w:top w:val="nil"/>
              <w:left w:val="single" w:sz="4" w:space="0" w:color="auto"/>
              <w:bottom w:val="single" w:sz="4" w:space="0" w:color="auto"/>
              <w:right w:val="single" w:sz="4" w:space="0" w:color="auto"/>
            </w:tcBorders>
            <w:noWrap/>
            <w:vAlign w:val="bottom"/>
            <w:hideMark/>
          </w:tcPr>
          <w:p w14:paraId="3494D27F" w14:textId="7027CF3D" w:rsidR="005F688B" w:rsidRPr="008969D1" w:rsidRDefault="005F688B" w:rsidP="00B17FDE">
            <w:pPr>
              <w:spacing w:before="0" w:after="0"/>
              <w:jc w:val="both"/>
              <w:rPr>
                <w:rFonts w:ascii="Arial" w:eastAsia="Times New Roman" w:hAnsi="Arial" w:cs="Arial"/>
                <w:color w:val="000000"/>
                <w:lang w:val="en-GB" w:eastAsia="en-GB"/>
              </w:rPr>
            </w:pPr>
            <w:r w:rsidRPr="008969D1">
              <w:rPr>
                <w:rFonts w:ascii="Arial" w:eastAsia="Times New Roman" w:hAnsi="Arial" w:cs="Arial"/>
                <w:color w:val="000000"/>
                <w:lang w:val="en-GB" w:eastAsia="en-GB"/>
              </w:rPr>
              <w:t> </w:t>
            </w:r>
            <w:r w:rsidR="005E58AF">
              <w:rPr>
                <w:rFonts w:ascii="Arial" w:eastAsia="Times New Roman" w:hAnsi="Arial" w:cs="Arial"/>
                <w:color w:val="000000"/>
                <w:lang w:val="en-GB" w:eastAsia="en-GB"/>
              </w:rPr>
              <w:t xml:space="preserve">Anna Troup </w:t>
            </w:r>
          </w:p>
        </w:tc>
        <w:tc>
          <w:tcPr>
            <w:tcW w:w="3402" w:type="dxa"/>
            <w:tcBorders>
              <w:top w:val="nil"/>
              <w:left w:val="nil"/>
              <w:bottom w:val="single" w:sz="4" w:space="0" w:color="auto"/>
              <w:right w:val="single" w:sz="4" w:space="0" w:color="auto"/>
            </w:tcBorders>
            <w:noWrap/>
            <w:vAlign w:val="bottom"/>
            <w:hideMark/>
          </w:tcPr>
          <w:p w14:paraId="4C5C0F34" w14:textId="205E9D8F" w:rsidR="005F688B" w:rsidRPr="008969D1" w:rsidRDefault="005E58AF" w:rsidP="00B17FDE">
            <w:pPr>
              <w:spacing w:before="0" w:after="0"/>
              <w:jc w:val="both"/>
              <w:rPr>
                <w:rFonts w:ascii="Arial" w:eastAsia="Times New Roman" w:hAnsi="Arial" w:cs="Arial"/>
                <w:color w:val="000000"/>
                <w:lang w:val="en-GB" w:eastAsia="en-GB"/>
              </w:rPr>
            </w:pPr>
            <w:r>
              <w:rPr>
                <w:rFonts w:ascii="Arial" w:eastAsia="Times New Roman" w:hAnsi="Arial" w:cs="Arial"/>
                <w:color w:val="000000"/>
                <w:lang w:val="en-GB" w:eastAsia="en-GB"/>
              </w:rPr>
              <w:t>Independent Non</w:t>
            </w:r>
            <w:r w:rsidR="00112C65">
              <w:rPr>
                <w:rFonts w:ascii="Arial" w:eastAsia="Times New Roman" w:hAnsi="Arial" w:cs="Arial"/>
                <w:color w:val="000000"/>
                <w:lang w:val="en-GB" w:eastAsia="en-GB"/>
              </w:rPr>
              <w:t>-</w:t>
            </w:r>
            <w:r>
              <w:rPr>
                <w:rFonts w:ascii="Arial" w:eastAsia="Times New Roman" w:hAnsi="Arial" w:cs="Arial"/>
                <w:color w:val="000000"/>
                <w:lang w:val="en-GB" w:eastAsia="en-GB"/>
              </w:rPr>
              <w:t xml:space="preserve">Executive Director </w:t>
            </w:r>
          </w:p>
        </w:tc>
        <w:tc>
          <w:tcPr>
            <w:tcW w:w="1559" w:type="dxa"/>
            <w:tcBorders>
              <w:top w:val="nil"/>
              <w:left w:val="nil"/>
              <w:bottom w:val="single" w:sz="4" w:space="0" w:color="auto"/>
              <w:right w:val="single" w:sz="4" w:space="0" w:color="auto"/>
            </w:tcBorders>
            <w:noWrap/>
            <w:vAlign w:val="bottom"/>
            <w:hideMark/>
          </w:tcPr>
          <w:p w14:paraId="02C01928" w14:textId="21F3FB27" w:rsidR="005F688B" w:rsidRPr="008969D1" w:rsidRDefault="005F688B" w:rsidP="00B17FDE">
            <w:pPr>
              <w:spacing w:before="0" w:after="0"/>
              <w:jc w:val="both"/>
              <w:rPr>
                <w:rFonts w:ascii="Arial" w:eastAsia="Times New Roman" w:hAnsi="Arial" w:cs="Arial"/>
                <w:color w:val="000000"/>
                <w:lang w:val="en-GB" w:eastAsia="en-GB"/>
              </w:rPr>
            </w:pPr>
            <w:r w:rsidRPr="008969D1">
              <w:rPr>
                <w:rFonts w:ascii="Arial" w:eastAsia="Times New Roman" w:hAnsi="Arial" w:cs="Arial"/>
                <w:color w:val="000000"/>
                <w:lang w:val="en-GB" w:eastAsia="en-GB"/>
              </w:rPr>
              <w:t> </w:t>
            </w:r>
            <w:r w:rsidR="00636224">
              <w:rPr>
                <w:rFonts w:ascii="Arial" w:eastAsia="Times New Roman" w:hAnsi="Arial" w:cs="Arial"/>
                <w:color w:val="000000"/>
                <w:lang w:val="en-GB" w:eastAsia="en-GB"/>
              </w:rPr>
              <w:t>0</w:t>
            </w:r>
          </w:p>
        </w:tc>
        <w:tc>
          <w:tcPr>
            <w:tcW w:w="1701" w:type="dxa"/>
            <w:tcBorders>
              <w:top w:val="nil"/>
              <w:left w:val="nil"/>
              <w:bottom w:val="single" w:sz="4" w:space="0" w:color="auto"/>
              <w:right w:val="single" w:sz="4" w:space="0" w:color="auto"/>
            </w:tcBorders>
            <w:noWrap/>
            <w:vAlign w:val="bottom"/>
            <w:hideMark/>
          </w:tcPr>
          <w:p w14:paraId="1E91D027" w14:textId="6B564783" w:rsidR="005F688B" w:rsidRPr="008969D1" w:rsidRDefault="005F688B" w:rsidP="00B17FDE">
            <w:pPr>
              <w:spacing w:before="0" w:after="0"/>
              <w:jc w:val="both"/>
              <w:rPr>
                <w:rFonts w:ascii="Arial" w:eastAsia="Times New Roman" w:hAnsi="Arial" w:cs="Arial"/>
                <w:color w:val="000000"/>
                <w:lang w:val="en-GB" w:eastAsia="en-GB"/>
              </w:rPr>
            </w:pPr>
            <w:r w:rsidRPr="008969D1">
              <w:rPr>
                <w:rFonts w:ascii="Arial" w:eastAsia="Times New Roman" w:hAnsi="Arial" w:cs="Arial"/>
                <w:color w:val="000000"/>
                <w:lang w:val="en-GB" w:eastAsia="en-GB"/>
              </w:rPr>
              <w:t> </w:t>
            </w:r>
            <w:r w:rsidR="00636224">
              <w:rPr>
                <w:rFonts w:ascii="Arial" w:eastAsia="Times New Roman" w:hAnsi="Arial" w:cs="Arial"/>
                <w:color w:val="000000"/>
                <w:lang w:val="en-GB" w:eastAsia="en-GB"/>
              </w:rPr>
              <w:t>3</w:t>
            </w:r>
          </w:p>
        </w:tc>
      </w:tr>
      <w:tr w:rsidR="005F688B" w:rsidRPr="008E1561" w14:paraId="3090F091" w14:textId="77777777" w:rsidTr="008A35DB">
        <w:trPr>
          <w:trHeight w:val="276"/>
        </w:trPr>
        <w:tc>
          <w:tcPr>
            <w:tcW w:w="3251" w:type="dxa"/>
            <w:tcBorders>
              <w:top w:val="nil"/>
              <w:left w:val="single" w:sz="4" w:space="0" w:color="auto"/>
              <w:bottom w:val="single" w:sz="4" w:space="0" w:color="auto"/>
              <w:right w:val="single" w:sz="4" w:space="0" w:color="auto"/>
            </w:tcBorders>
            <w:noWrap/>
            <w:vAlign w:val="bottom"/>
            <w:hideMark/>
          </w:tcPr>
          <w:p w14:paraId="33BBBA40" w14:textId="7A198179" w:rsidR="000A01E2" w:rsidRDefault="000A01E2" w:rsidP="00B17FDE">
            <w:pPr>
              <w:spacing w:before="0" w:after="0"/>
              <w:jc w:val="both"/>
              <w:rPr>
                <w:rFonts w:ascii="Arial" w:eastAsia="Times New Roman" w:hAnsi="Arial" w:cs="Arial"/>
                <w:color w:val="000000"/>
                <w:lang w:val="en-GB" w:eastAsia="en-GB"/>
              </w:rPr>
            </w:pPr>
            <w:r>
              <w:rPr>
                <w:rFonts w:ascii="Arial" w:eastAsia="Times New Roman" w:hAnsi="Arial" w:cs="Arial"/>
                <w:color w:val="000000"/>
                <w:lang w:val="en-GB" w:eastAsia="en-GB"/>
              </w:rPr>
              <w:t xml:space="preserve">Chris Place </w:t>
            </w:r>
          </w:p>
          <w:p w14:paraId="0842D51D" w14:textId="3F8907B4" w:rsidR="005F688B" w:rsidRPr="008969D1" w:rsidRDefault="00BB054F" w:rsidP="00B17FDE">
            <w:pPr>
              <w:spacing w:before="0" w:after="0"/>
              <w:jc w:val="both"/>
              <w:rPr>
                <w:rFonts w:ascii="Arial" w:eastAsia="Times New Roman" w:hAnsi="Arial" w:cs="Arial"/>
                <w:color w:val="000000"/>
                <w:lang w:val="en-GB" w:eastAsia="en-GB"/>
              </w:rPr>
            </w:pPr>
            <w:r>
              <w:rPr>
                <w:rFonts w:ascii="Arial" w:eastAsia="Times New Roman" w:hAnsi="Arial" w:cs="Arial"/>
                <w:color w:val="000000"/>
                <w:lang w:val="en-GB" w:eastAsia="en-GB"/>
              </w:rPr>
              <w:t xml:space="preserve"> </w:t>
            </w:r>
          </w:p>
        </w:tc>
        <w:tc>
          <w:tcPr>
            <w:tcW w:w="3402" w:type="dxa"/>
            <w:tcBorders>
              <w:top w:val="nil"/>
              <w:left w:val="nil"/>
              <w:bottom w:val="single" w:sz="4" w:space="0" w:color="auto"/>
              <w:right w:val="single" w:sz="4" w:space="0" w:color="auto"/>
            </w:tcBorders>
            <w:noWrap/>
            <w:vAlign w:val="bottom"/>
            <w:hideMark/>
          </w:tcPr>
          <w:p w14:paraId="06F65FAD" w14:textId="3983352E" w:rsidR="005F688B" w:rsidRPr="008969D1" w:rsidRDefault="005F688B" w:rsidP="00B17FDE">
            <w:pPr>
              <w:spacing w:before="0" w:after="0"/>
              <w:jc w:val="both"/>
              <w:rPr>
                <w:rFonts w:ascii="Arial" w:eastAsia="Times New Roman" w:hAnsi="Arial" w:cs="Arial"/>
                <w:color w:val="000000"/>
                <w:lang w:val="en-GB" w:eastAsia="en-GB"/>
              </w:rPr>
            </w:pPr>
            <w:r w:rsidRPr="008969D1">
              <w:rPr>
                <w:rFonts w:ascii="Arial" w:eastAsia="Times New Roman" w:hAnsi="Arial" w:cs="Arial"/>
                <w:color w:val="000000"/>
                <w:lang w:val="en-GB" w:eastAsia="en-GB"/>
              </w:rPr>
              <w:t> </w:t>
            </w:r>
            <w:r w:rsidR="000A01E2">
              <w:rPr>
                <w:rFonts w:ascii="Arial" w:eastAsia="Times New Roman" w:hAnsi="Arial" w:cs="Arial"/>
                <w:color w:val="000000"/>
                <w:lang w:val="en-GB" w:eastAsia="en-GB"/>
              </w:rPr>
              <w:t xml:space="preserve">Interim </w:t>
            </w:r>
            <w:r w:rsidR="00BB054F">
              <w:rPr>
                <w:rFonts w:ascii="Arial" w:eastAsia="Times New Roman" w:hAnsi="Arial" w:cs="Arial"/>
                <w:color w:val="000000"/>
                <w:lang w:val="en-GB" w:eastAsia="en-GB"/>
              </w:rPr>
              <w:t>Chief Executive Officer</w:t>
            </w:r>
          </w:p>
        </w:tc>
        <w:tc>
          <w:tcPr>
            <w:tcW w:w="1559" w:type="dxa"/>
            <w:tcBorders>
              <w:top w:val="nil"/>
              <w:left w:val="nil"/>
              <w:bottom w:val="single" w:sz="4" w:space="0" w:color="auto"/>
              <w:right w:val="single" w:sz="4" w:space="0" w:color="auto"/>
            </w:tcBorders>
            <w:noWrap/>
            <w:vAlign w:val="bottom"/>
            <w:hideMark/>
          </w:tcPr>
          <w:p w14:paraId="34C134C8" w14:textId="461051FA" w:rsidR="005F688B" w:rsidRPr="008969D1" w:rsidRDefault="005F688B" w:rsidP="00B17FDE">
            <w:pPr>
              <w:spacing w:before="0" w:after="0"/>
              <w:jc w:val="both"/>
              <w:rPr>
                <w:rFonts w:ascii="Arial" w:eastAsia="Times New Roman" w:hAnsi="Arial" w:cs="Arial"/>
                <w:color w:val="000000"/>
                <w:lang w:val="en-GB" w:eastAsia="en-GB"/>
              </w:rPr>
            </w:pPr>
            <w:r w:rsidRPr="008969D1">
              <w:rPr>
                <w:rFonts w:ascii="Arial" w:eastAsia="Times New Roman" w:hAnsi="Arial" w:cs="Arial"/>
                <w:color w:val="000000"/>
                <w:lang w:val="en-GB" w:eastAsia="en-GB"/>
              </w:rPr>
              <w:t> </w:t>
            </w:r>
            <w:r w:rsidR="00BB054F">
              <w:rPr>
                <w:rFonts w:ascii="Arial" w:eastAsia="Times New Roman" w:hAnsi="Arial" w:cs="Arial"/>
                <w:color w:val="000000"/>
                <w:lang w:val="en-GB" w:eastAsia="en-GB"/>
              </w:rPr>
              <w:t>2</w:t>
            </w:r>
          </w:p>
        </w:tc>
        <w:tc>
          <w:tcPr>
            <w:tcW w:w="1701" w:type="dxa"/>
            <w:tcBorders>
              <w:top w:val="nil"/>
              <w:left w:val="nil"/>
              <w:bottom w:val="single" w:sz="4" w:space="0" w:color="auto"/>
              <w:right w:val="single" w:sz="4" w:space="0" w:color="auto"/>
            </w:tcBorders>
            <w:noWrap/>
            <w:vAlign w:val="bottom"/>
            <w:hideMark/>
          </w:tcPr>
          <w:p w14:paraId="7312BAB0" w14:textId="77777777" w:rsidR="005F688B" w:rsidRPr="008969D1" w:rsidRDefault="005F688B" w:rsidP="00B17FDE">
            <w:pPr>
              <w:spacing w:before="0" w:after="0"/>
              <w:jc w:val="both"/>
              <w:rPr>
                <w:rFonts w:ascii="Arial" w:eastAsia="Times New Roman" w:hAnsi="Arial" w:cs="Arial"/>
                <w:color w:val="000000"/>
                <w:lang w:val="en-GB" w:eastAsia="en-GB"/>
              </w:rPr>
            </w:pPr>
            <w:r w:rsidRPr="008969D1">
              <w:rPr>
                <w:rFonts w:ascii="Arial" w:eastAsia="Times New Roman" w:hAnsi="Arial" w:cs="Arial"/>
                <w:color w:val="000000"/>
                <w:lang w:val="en-GB" w:eastAsia="en-GB"/>
              </w:rPr>
              <w:t> </w:t>
            </w:r>
          </w:p>
        </w:tc>
      </w:tr>
      <w:tr w:rsidR="005F688B" w:rsidRPr="008E1561" w14:paraId="1AB4C20A" w14:textId="77777777" w:rsidTr="008A35DB">
        <w:trPr>
          <w:trHeight w:val="276"/>
        </w:trPr>
        <w:tc>
          <w:tcPr>
            <w:tcW w:w="3251" w:type="dxa"/>
            <w:tcBorders>
              <w:top w:val="nil"/>
              <w:left w:val="single" w:sz="4" w:space="0" w:color="auto"/>
              <w:bottom w:val="single" w:sz="4" w:space="0" w:color="auto"/>
              <w:right w:val="single" w:sz="4" w:space="0" w:color="auto"/>
            </w:tcBorders>
            <w:noWrap/>
            <w:vAlign w:val="bottom"/>
            <w:hideMark/>
          </w:tcPr>
          <w:p w14:paraId="4369C39E" w14:textId="4F81B994" w:rsidR="005F688B" w:rsidRPr="008969D1" w:rsidRDefault="005F688B" w:rsidP="00B17FDE">
            <w:pPr>
              <w:spacing w:before="0" w:after="0"/>
              <w:jc w:val="both"/>
              <w:rPr>
                <w:rFonts w:ascii="Arial" w:eastAsia="Times New Roman" w:hAnsi="Arial" w:cs="Arial"/>
                <w:color w:val="000000"/>
                <w:lang w:val="en-GB" w:eastAsia="en-GB"/>
              </w:rPr>
            </w:pPr>
            <w:r w:rsidRPr="008969D1">
              <w:rPr>
                <w:rFonts w:ascii="Arial" w:eastAsia="Times New Roman" w:hAnsi="Arial" w:cs="Arial"/>
                <w:color w:val="000000"/>
                <w:lang w:val="en-GB" w:eastAsia="en-GB"/>
              </w:rPr>
              <w:t> </w:t>
            </w:r>
            <w:r w:rsidR="00BB054F">
              <w:rPr>
                <w:rFonts w:ascii="Arial" w:eastAsia="Times New Roman" w:hAnsi="Arial" w:cs="Arial"/>
                <w:color w:val="000000"/>
                <w:lang w:val="en-GB" w:eastAsia="en-GB"/>
              </w:rPr>
              <w:t>Paul Amer</w:t>
            </w:r>
          </w:p>
        </w:tc>
        <w:tc>
          <w:tcPr>
            <w:tcW w:w="3402" w:type="dxa"/>
            <w:tcBorders>
              <w:top w:val="nil"/>
              <w:left w:val="nil"/>
              <w:bottom w:val="single" w:sz="4" w:space="0" w:color="auto"/>
              <w:right w:val="single" w:sz="4" w:space="0" w:color="auto"/>
            </w:tcBorders>
            <w:noWrap/>
            <w:vAlign w:val="bottom"/>
            <w:hideMark/>
          </w:tcPr>
          <w:p w14:paraId="4B824F2D" w14:textId="307466B9" w:rsidR="005F688B" w:rsidRPr="008969D1" w:rsidRDefault="005F688B" w:rsidP="00B17FDE">
            <w:pPr>
              <w:spacing w:before="0" w:after="0"/>
              <w:jc w:val="both"/>
              <w:rPr>
                <w:rFonts w:ascii="Arial" w:eastAsia="Times New Roman" w:hAnsi="Arial" w:cs="Arial"/>
                <w:color w:val="000000"/>
                <w:lang w:val="en-GB" w:eastAsia="en-GB"/>
              </w:rPr>
            </w:pPr>
            <w:r w:rsidRPr="008969D1">
              <w:rPr>
                <w:rFonts w:ascii="Arial" w:eastAsia="Times New Roman" w:hAnsi="Arial" w:cs="Arial"/>
                <w:color w:val="000000"/>
                <w:lang w:val="en-GB" w:eastAsia="en-GB"/>
              </w:rPr>
              <w:t> </w:t>
            </w:r>
            <w:r w:rsidR="00BB054F">
              <w:rPr>
                <w:rFonts w:ascii="Arial" w:eastAsia="Times New Roman" w:hAnsi="Arial" w:cs="Arial"/>
                <w:color w:val="000000"/>
                <w:lang w:val="en-GB" w:eastAsia="en-GB"/>
              </w:rPr>
              <w:t xml:space="preserve">Chief Investment Officer </w:t>
            </w:r>
          </w:p>
        </w:tc>
        <w:tc>
          <w:tcPr>
            <w:tcW w:w="1559" w:type="dxa"/>
            <w:tcBorders>
              <w:top w:val="nil"/>
              <w:left w:val="nil"/>
              <w:bottom w:val="single" w:sz="4" w:space="0" w:color="auto"/>
              <w:right w:val="single" w:sz="4" w:space="0" w:color="auto"/>
            </w:tcBorders>
            <w:noWrap/>
            <w:vAlign w:val="bottom"/>
            <w:hideMark/>
          </w:tcPr>
          <w:p w14:paraId="612455D3" w14:textId="5431B058" w:rsidR="005F688B" w:rsidRPr="008969D1" w:rsidRDefault="005F688B" w:rsidP="00B17FDE">
            <w:pPr>
              <w:spacing w:before="0" w:after="0"/>
              <w:jc w:val="both"/>
              <w:rPr>
                <w:rFonts w:ascii="Arial" w:eastAsia="Times New Roman" w:hAnsi="Arial" w:cs="Arial"/>
                <w:color w:val="000000"/>
                <w:lang w:val="en-GB" w:eastAsia="en-GB"/>
              </w:rPr>
            </w:pPr>
            <w:r w:rsidRPr="008969D1">
              <w:rPr>
                <w:rFonts w:ascii="Arial" w:eastAsia="Times New Roman" w:hAnsi="Arial" w:cs="Arial"/>
                <w:color w:val="000000"/>
                <w:lang w:val="en-GB" w:eastAsia="en-GB"/>
              </w:rPr>
              <w:t> </w:t>
            </w:r>
            <w:r w:rsidR="00BB054F">
              <w:rPr>
                <w:rFonts w:ascii="Arial" w:eastAsia="Times New Roman" w:hAnsi="Arial" w:cs="Arial"/>
                <w:color w:val="000000"/>
                <w:lang w:val="en-GB" w:eastAsia="en-GB"/>
              </w:rPr>
              <w:t>1</w:t>
            </w:r>
          </w:p>
        </w:tc>
        <w:tc>
          <w:tcPr>
            <w:tcW w:w="1701" w:type="dxa"/>
            <w:tcBorders>
              <w:top w:val="nil"/>
              <w:left w:val="nil"/>
              <w:bottom w:val="single" w:sz="4" w:space="0" w:color="auto"/>
              <w:right w:val="single" w:sz="4" w:space="0" w:color="auto"/>
            </w:tcBorders>
            <w:noWrap/>
            <w:vAlign w:val="bottom"/>
            <w:hideMark/>
          </w:tcPr>
          <w:p w14:paraId="49FD6FBF" w14:textId="77777777" w:rsidR="005F688B" w:rsidRPr="008969D1" w:rsidRDefault="005F688B" w:rsidP="00B17FDE">
            <w:pPr>
              <w:spacing w:before="0" w:after="0"/>
              <w:jc w:val="both"/>
              <w:rPr>
                <w:rFonts w:ascii="Arial" w:eastAsia="Times New Roman" w:hAnsi="Arial" w:cs="Arial"/>
                <w:color w:val="000000"/>
                <w:lang w:val="en-GB" w:eastAsia="en-GB"/>
              </w:rPr>
            </w:pPr>
            <w:r w:rsidRPr="008969D1">
              <w:rPr>
                <w:rFonts w:ascii="Arial" w:eastAsia="Times New Roman" w:hAnsi="Arial" w:cs="Arial"/>
                <w:color w:val="000000"/>
                <w:lang w:val="en-GB" w:eastAsia="en-GB"/>
              </w:rPr>
              <w:t> </w:t>
            </w:r>
          </w:p>
        </w:tc>
      </w:tr>
    </w:tbl>
    <w:p w14:paraId="2E935D32" w14:textId="5FAFDA09" w:rsidR="00B267F2" w:rsidRDefault="00B267F2" w:rsidP="00B267F2">
      <w:pPr>
        <w:jc w:val="both"/>
        <w:rPr>
          <w:rFonts w:ascii="Arial" w:eastAsia="Times New Roman" w:hAnsi="Arial" w:cs="Arial"/>
          <w:b/>
          <w:bCs/>
          <w:color w:val="000000"/>
          <w:sz w:val="22"/>
          <w:szCs w:val="22"/>
          <w:lang w:val="en-GB" w:eastAsia="en-GB"/>
        </w:rPr>
      </w:pPr>
      <w:r>
        <w:rPr>
          <w:lang w:val="en-GB" w:eastAsia="en-GB"/>
        </w:rPr>
        <w:t>Since 31 December 2025, the Governing Body is supplemented by:</w:t>
      </w:r>
    </w:p>
    <w:p w14:paraId="446D7157" w14:textId="6B8D9CB5" w:rsidR="00B267F2" w:rsidRPr="00B267F2" w:rsidRDefault="00B267F2" w:rsidP="00B267F2">
      <w:pPr>
        <w:jc w:val="both"/>
        <w:rPr>
          <w:rFonts w:ascii="Arial" w:eastAsia="Times New Roman" w:hAnsi="Arial" w:cs="Arial"/>
          <w:b/>
          <w:bCs/>
          <w:color w:val="000000"/>
          <w:sz w:val="22"/>
          <w:szCs w:val="22"/>
          <w:lang w:val="en-GB" w:eastAsia="en-GB"/>
        </w:rPr>
      </w:pPr>
      <w:r w:rsidRPr="00B267F2">
        <w:rPr>
          <w:rFonts w:ascii="Arial" w:eastAsia="Times New Roman" w:hAnsi="Arial" w:cs="Arial"/>
          <w:b/>
          <w:bCs/>
          <w:color w:val="000000"/>
          <w:sz w:val="22"/>
          <w:szCs w:val="22"/>
          <w:lang w:val="en-GB" w:eastAsia="en-GB"/>
        </w:rPr>
        <w:t xml:space="preserve">James Kelly </w:t>
      </w:r>
      <w:r w:rsidR="000A01E2">
        <w:rPr>
          <w:rFonts w:ascii="Arial" w:eastAsia="Times New Roman" w:hAnsi="Arial" w:cs="Arial"/>
          <w:b/>
          <w:bCs/>
          <w:color w:val="000000"/>
          <w:sz w:val="22"/>
          <w:szCs w:val="22"/>
          <w:lang w:val="en-GB" w:eastAsia="en-GB"/>
        </w:rPr>
        <w:t xml:space="preserve">- </w:t>
      </w:r>
      <w:r w:rsidR="000A01E2" w:rsidRPr="000A01E2">
        <w:rPr>
          <w:rFonts w:ascii="Arial" w:eastAsia="Times New Roman" w:hAnsi="Arial" w:cs="Arial"/>
          <w:b/>
          <w:bCs/>
          <w:color w:val="000000"/>
          <w:sz w:val="22"/>
          <w:szCs w:val="22"/>
          <w:lang w:val="en-GB" w:eastAsia="en-GB"/>
        </w:rPr>
        <w:t xml:space="preserve">Independent Non-Executive Director </w:t>
      </w:r>
      <w:r w:rsidR="000A01E2">
        <w:rPr>
          <w:rFonts w:ascii="Arial" w:eastAsia="Times New Roman" w:hAnsi="Arial" w:cs="Arial"/>
          <w:b/>
          <w:bCs/>
          <w:color w:val="000000"/>
          <w:sz w:val="22"/>
          <w:szCs w:val="22"/>
          <w:lang w:val="en-GB" w:eastAsia="en-GB"/>
        </w:rPr>
        <w:t xml:space="preserve">&amp; Chair </w:t>
      </w:r>
      <w:r w:rsidRPr="00535C92">
        <w:rPr>
          <w:rFonts w:ascii="Arial" w:eastAsia="Times New Roman" w:hAnsi="Arial" w:cs="Arial"/>
          <w:color w:val="000000"/>
          <w:sz w:val="22"/>
          <w:szCs w:val="22"/>
          <w:lang w:val="en-GB" w:eastAsia="en-GB"/>
        </w:rPr>
        <w:t>(Appointed 2 March 2026)</w:t>
      </w:r>
    </w:p>
    <w:p w14:paraId="35A1FE62" w14:textId="77777777" w:rsidR="00B267F2" w:rsidRPr="00535C92" w:rsidRDefault="00B267F2" w:rsidP="00B267F2">
      <w:pPr>
        <w:jc w:val="both"/>
        <w:rPr>
          <w:rFonts w:ascii="Arial" w:eastAsia="Times New Roman" w:hAnsi="Arial" w:cs="Arial"/>
          <w:color w:val="000000"/>
          <w:sz w:val="22"/>
          <w:szCs w:val="22"/>
          <w:lang w:val="en-GB" w:eastAsia="en-GB"/>
        </w:rPr>
      </w:pPr>
      <w:r w:rsidRPr="00535C92">
        <w:rPr>
          <w:rFonts w:ascii="Arial" w:eastAsia="Times New Roman" w:hAnsi="Arial" w:cs="Arial"/>
          <w:color w:val="000000"/>
          <w:sz w:val="22"/>
          <w:szCs w:val="22"/>
          <w:lang w:val="en-GB" w:eastAsia="en-GB"/>
        </w:rPr>
        <w:t xml:space="preserve">James was at Jupiter Asset Management as a Senior Advisor for over two years. Prior to joining Jupiter Asset Management James was a Special Advisor at the FCA within the Supervision Division for four years. </w:t>
      </w:r>
    </w:p>
    <w:p w14:paraId="22A8BF09" w14:textId="77777777" w:rsidR="00B267F2" w:rsidRPr="00535C92" w:rsidRDefault="00B267F2" w:rsidP="00B267F2">
      <w:pPr>
        <w:jc w:val="both"/>
        <w:rPr>
          <w:rFonts w:ascii="Arial" w:eastAsia="Times New Roman" w:hAnsi="Arial" w:cs="Arial"/>
          <w:color w:val="000000"/>
          <w:sz w:val="22"/>
          <w:szCs w:val="22"/>
          <w:lang w:val="en-GB" w:eastAsia="en-GB"/>
        </w:rPr>
      </w:pPr>
      <w:r w:rsidRPr="00535C92">
        <w:rPr>
          <w:rFonts w:ascii="Arial" w:eastAsia="Times New Roman" w:hAnsi="Arial" w:cs="Arial"/>
          <w:color w:val="000000"/>
          <w:sz w:val="22"/>
          <w:szCs w:val="22"/>
          <w:lang w:val="en-GB" w:eastAsia="en-GB"/>
        </w:rPr>
        <w:t xml:space="preserve">He brings a wealth of experience having served an extensive period of time as a Managing Director at both Goldman Sachs and UBS with his expertise covering client relationship management, business development, risk management and derivative products. </w:t>
      </w:r>
    </w:p>
    <w:p w14:paraId="3EB5700C" w14:textId="77777777" w:rsidR="00B267F2" w:rsidRPr="00535C92" w:rsidRDefault="00B267F2" w:rsidP="00B267F2">
      <w:pPr>
        <w:jc w:val="both"/>
        <w:rPr>
          <w:rFonts w:ascii="Arial" w:eastAsia="Times New Roman" w:hAnsi="Arial" w:cs="Arial"/>
          <w:color w:val="000000"/>
          <w:sz w:val="22"/>
          <w:szCs w:val="22"/>
          <w:lang w:val="en-GB" w:eastAsia="en-GB"/>
        </w:rPr>
      </w:pPr>
      <w:r w:rsidRPr="00535C92">
        <w:rPr>
          <w:rFonts w:ascii="Arial" w:eastAsia="Times New Roman" w:hAnsi="Arial" w:cs="Arial"/>
          <w:color w:val="000000"/>
          <w:sz w:val="22"/>
          <w:szCs w:val="22"/>
          <w:lang w:val="en-GB" w:eastAsia="en-GB"/>
        </w:rPr>
        <w:t>James holds a BA in Economics &amp; Politics from the University of York as well as a MBA from London Metropolitan University.</w:t>
      </w:r>
    </w:p>
    <w:p w14:paraId="5198438A" w14:textId="77777777" w:rsidR="00B267F2" w:rsidRPr="00535C92" w:rsidRDefault="00B267F2" w:rsidP="00B267F2">
      <w:pPr>
        <w:jc w:val="both"/>
        <w:rPr>
          <w:rFonts w:ascii="Arial" w:eastAsia="Times New Roman" w:hAnsi="Arial" w:cs="Arial"/>
          <w:color w:val="000000"/>
          <w:sz w:val="22"/>
          <w:szCs w:val="22"/>
          <w:lang w:val="en-GB" w:eastAsia="en-GB"/>
        </w:rPr>
      </w:pPr>
      <w:r w:rsidRPr="00535C92">
        <w:rPr>
          <w:rFonts w:ascii="Arial" w:eastAsia="Times New Roman" w:hAnsi="Arial" w:cs="Arial"/>
          <w:color w:val="000000"/>
          <w:sz w:val="22"/>
          <w:szCs w:val="22"/>
          <w:lang w:val="en-GB" w:eastAsia="en-GB"/>
        </w:rPr>
        <w:t xml:space="preserve">James is also an independent non-executive director of MS Amlin Investment Holdings Limited, the parent company of the Firm. </w:t>
      </w:r>
    </w:p>
    <w:p w14:paraId="5963F466" w14:textId="49E65D19" w:rsidR="00B267F2" w:rsidRPr="00B267F2" w:rsidRDefault="00B267F2" w:rsidP="00B267F2">
      <w:pPr>
        <w:jc w:val="both"/>
        <w:rPr>
          <w:rFonts w:ascii="Arial" w:eastAsia="Times New Roman" w:hAnsi="Arial" w:cs="Arial"/>
          <w:b/>
          <w:bCs/>
          <w:color w:val="000000"/>
          <w:sz w:val="22"/>
          <w:szCs w:val="22"/>
          <w:lang w:val="en-GB" w:eastAsia="en-GB"/>
        </w:rPr>
      </w:pPr>
      <w:r w:rsidRPr="00B267F2">
        <w:rPr>
          <w:rFonts w:ascii="Arial" w:eastAsia="Times New Roman" w:hAnsi="Arial" w:cs="Arial"/>
          <w:b/>
          <w:bCs/>
          <w:color w:val="000000"/>
          <w:sz w:val="22"/>
          <w:szCs w:val="22"/>
          <w:lang w:val="en-GB" w:eastAsia="en-GB"/>
        </w:rPr>
        <w:t>Sushil Saluja</w:t>
      </w:r>
      <w:r w:rsidR="000A01E2">
        <w:rPr>
          <w:rFonts w:ascii="Arial" w:eastAsia="Times New Roman" w:hAnsi="Arial" w:cs="Arial"/>
          <w:b/>
          <w:bCs/>
          <w:color w:val="000000"/>
          <w:sz w:val="22"/>
          <w:szCs w:val="22"/>
          <w:lang w:val="en-GB" w:eastAsia="en-GB"/>
        </w:rPr>
        <w:t xml:space="preserve"> -</w:t>
      </w:r>
      <w:r w:rsidRPr="00B267F2">
        <w:rPr>
          <w:rFonts w:ascii="Arial" w:eastAsia="Times New Roman" w:hAnsi="Arial" w:cs="Arial"/>
          <w:b/>
          <w:bCs/>
          <w:color w:val="000000"/>
          <w:sz w:val="22"/>
          <w:szCs w:val="22"/>
          <w:lang w:val="en-GB" w:eastAsia="en-GB"/>
        </w:rPr>
        <w:t xml:space="preserve"> </w:t>
      </w:r>
      <w:r w:rsidR="000A01E2" w:rsidRPr="000A01E2">
        <w:rPr>
          <w:rFonts w:ascii="Arial" w:eastAsia="Times New Roman" w:hAnsi="Arial" w:cs="Arial"/>
          <w:b/>
          <w:bCs/>
          <w:color w:val="000000"/>
          <w:sz w:val="22"/>
          <w:szCs w:val="22"/>
          <w:lang w:val="en-GB" w:eastAsia="en-GB"/>
        </w:rPr>
        <w:t xml:space="preserve">Independent Non-Executive Director </w:t>
      </w:r>
      <w:r w:rsidRPr="00535C92">
        <w:rPr>
          <w:rFonts w:ascii="Arial" w:eastAsia="Times New Roman" w:hAnsi="Arial" w:cs="Arial"/>
          <w:color w:val="000000"/>
          <w:sz w:val="22"/>
          <w:szCs w:val="22"/>
          <w:lang w:val="en-GB" w:eastAsia="en-GB"/>
        </w:rPr>
        <w:t>(Appointed 2 March 2026)</w:t>
      </w:r>
    </w:p>
    <w:p w14:paraId="6AA3E324" w14:textId="77777777" w:rsidR="00B267F2" w:rsidRPr="00535C92" w:rsidRDefault="00B267F2" w:rsidP="00B267F2">
      <w:pPr>
        <w:jc w:val="both"/>
        <w:rPr>
          <w:rFonts w:ascii="Arial" w:eastAsia="Times New Roman" w:hAnsi="Arial" w:cs="Arial"/>
          <w:color w:val="000000"/>
          <w:sz w:val="22"/>
          <w:szCs w:val="22"/>
          <w:lang w:val="en-GB" w:eastAsia="en-GB"/>
        </w:rPr>
      </w:pPr>
      <w:r w:rsidRPr="00535C92">
        <w:rPr>
          <w:rFonts w:ascii="Arial" w:eastAsia="Times New Roman" w:hAnsi="Arial" w:cs="Arial"/>
          <w:color w:val="000000"/>
          <w:sz w:val="22"/>
          <w:szCs w:val="22"/>
          <w:lang w:val="en-GB" w:eastAsia="en-GB"/>
        </w:rPr>
        <w:t xml:space="preserve">Sushil Saluja is an international business leader/CEO/Board Member, with deep experience in financial services and technology. </w:t>
      </w:r>
    </w:p>
    <w:p w14:paraId="2C4DC01C" w14:textId="77777777" w:rsidR="00B267F2" w:rsidRPr="00535C92" w:rsidRDefault="00B267F2" w:rsidP="00B267F2">
      <w:pPr>
        <w:jc w:val="both"/>
        <w:rPr>
          <w:rFonts w:ascii="Arial" w:eastAsia="Times New Roman" w:hAnsi="Arial" w:cs="Arial"/>
          <w:color w:val="000000"/>
          <w:sz w:val="22"/>
          <w:szCs w:val="22"/>
          <w:lang w:val="en-GB" w:eastAsia="en-GB"/>
        </w:rPr>
      </w:pPr>
      <w:r w:rsidRPr="00535C92">
        <w:rPr>
          <w:rFonts w:ascii="Arial" w:eastAsia="Times New Roman" w:hAnsi="Arial" w:cs="Arial"/>
          <w:color w:val="000000"/>
          <w:sz w:val="22"/>
          <w:szCs w:val="22"/>
          <w:lang w:val="en-GB" w:eastAsia="en-GB"/>
        </w:rPr>
        <w:t xml:space="preserve">He retired from Accenture after 30+ years as Senior Partner covering UK, Europe/EMEA and Asia over his career; and is former Executive Director / Head of Technology at the Bank of England. </w:t>
      </w:r>
    </w:p>
    <w:p w14:paraId="3DCFB874" w14:textId="77777777" w:rsidR="00B267F2" w:rsidRPr="00535C92" w:rsidRDefault="00B267F2" w:rsidP="00B267F2">
      <w:pPr>
        <w:jc w:val="both"/>
        <w:rPr>
          <w:rFonts w:ascii="Arial" w:eastAsia="Times New Roman" w:hAnsi="Arial" w:cs="Arial"/>
          <w:color w:val="000000"/>
          <w:sz w:val="22"/>
          <w:szCs w:val="22"/>
          <w:lang w:val="en-GB" w:eastAsia="en-GB"/>
        </w:rPr>
      </w:pPr>
      <w:r w:rsidRPr="00535C92">
        <w:rPr>
          <w:rFonts w:ascii="Arial" w:eastAsia="Times New Roman" w:hAnsi="Arial" w:cs="Arial"/>
          <w:color w:val="000000"/>
          <w:sz w:val="22"/>
          <w:szCs w:val="22"/>
          <w:lang w:val="en-GB" w:eastAsia="en-GB"/>
        </w:rPr>
        <w:lastRenderedPageBreak/>
        <w:t>Sushil is Alderman in the City of London; chairs Heart of the City; Board member for The British Council, Board member at the CISI and Board member of LINK (which runs the UK ATM network), as well as Senior Advisor to multiple firms globally.</w:t>
      </w:r>
    </w:p>
    <w:p w14:paraId="1E9E6D09" w14:textId="2F8B8310" w:rsidR="00B267F2" w:rsidRDefault="00B267F2" w:rsidP="00B267F2">
      <w:pPr>
        <w:jc w:val="both"/>
        <w:rPr>
          <w:rFonts w:ascii="Arial" w:eastAsia="Times New Roman" w:hAnsi="Arial" w:cs="Arial"/>
          <w:b/>
          <w:bCs/>
          <w:color w:val="000000"/>
          <w:sz w:val="22"/>
          <w:szCs w:val="22"/>
          <w:lang w:val="en-GB" w:eastAsia="en-GB"/>
        </w:rPr>
      </w:pPr>
      <w:r>
        <w:rPr>
          <w:rFonts w:ascii="Arial" w:eastAsia="Times New Roman" w:hAnsi="Arial" w:cs="Arial"/>
          <w:b/>
          <w:bCs/>
          <w:color w:val="000000"/>
          <w:sz w:val="22"/>
          <w:szCs w:val="22"/>
          <w:lang w:val="en-GB" w:eastAsia="en-GB"/>
        </w:rPr>
        <w:t xml:space="preserve">Kenichiro </w:t>
      </w:r>
      <w:r w:rsidRPr="00B267F2">
        <w:rPr>
          <w:rFonts w:ascii="Arial" w:eastAsia="Times New Roman" w:hAnsi="Arial" w:cs="Arial"/>
          <w:b/>
          <w:bCs/>
          <w:color w:val="000000"/>
          <w:sz w:val="22"/>
          <w:szCs w:val="22"/>
          <w:lang w:val="en-GB" w:eastAsia="en-GB"/>
        </w:rPr>
        <w:t>Goda</w:t>
      </w:r>
      <w:r>
        <w:rPr>
          <w:rFonts w:ascii="Arial" w:eastAsia="Times New Roman" w:hAnsi="Arial" w:cs="Arial"/>
          <w:b/>
          <w:bCs/>
          <w:color w:val="000000"/>
          <w:sz w:val="22"/>
          <w:szCs w:val="22"/>
          <w:lang w:val="en-GB" w:eastAsia="en-GB"/>
        </w:rPr>
        <w:t xml:space="preserve"> </w:t>
      </w:r>
      <w:r w:rsidR="000A01E2">
        <w:rPr>
          <w:rFonts w:ascii="Arial" w:eastAsia="Times New Roman" w:hAnsi="Arial" w:cs="Arial"/>
          <w:b/>
          <w:bCs/>
          <w:color w:val="000000"/>
          <w:sz w:val="22"/>
          <w:szCs w:val="22"/>
          <w:lang w:val="en-GB" w:eastAsia="en-GB"/>
        </w:rPr>
        <w:t xml:space="preserve">- </w:t>
      </w:r>
      <w:r w:rsidR="000A01E2" w:rsidRPr="000A01E2">
        <w:rPr>
          <w:rFonts w:ascii="Arial" w:eastAsia="Times New Roman" w:hAnsi="Arial" w:cs="Arial"/>
          <w:b/>
          <w:bCs/>
          <w:color w:val="000000"/>
          <w:sz w:val="22"/>
          <w:szCs w:val="22"/>
          <w:lang w:val="en-GB" w:eastAsia="en-GB"/>
        </w:rPr>
        <w:t xml:space="preserve">Non-Executive Director </w:t>
      </w:r>
      <w:r w:rsidRPr="00535C92">
        <w:rPr>
          <w:rFonts w:ascii="Arial" w:eastAsia="Times New Roman" w:hAnsi="Arial" w:cs="Arial"/>
          <w:color w:val="000000"/>
          <w:sz w:val="22"/>
          <w:szCs w:val="22"/>
          <w:lang w:val="en-GB" w:eastAsia="en-GB"/>
        </w:rPr>
        <w:t>(Appointed 2 March 2026)</w:t>
      </w:r>
    </w:p>
    <w:p w14:paraId="421329E2" w14:textId="77777777" w:rsidR="00B267F2" w:rsidRDefault="00B267F2" w:rsidP="00B267F2">
      <w:pPr>
        <w:jc w:val="both"/>
        <w:rPr>
          <w:rFonts w:ascii="Arial" w:eastAsia="Times New Roman" w:hAnsi="Arial" w:cs="Arial"/>
          <w:color w:val="000000"/>
          <w:sz w:val="22"/>
          <w:szCs w:val="22"/>
          <w:lang w:val="en-GB" w:eastAsia="en-GB"/>
        </w:rPr>
      </w:pPr>
      <w:r w:rsidRPr="00535C92">
        <w:rPr>
          <w:rFonts w:ascii="Arial" w:eastAsia="Times New Roman" w:hAnsi="Arial" w:cs="Arial"/>
          <w:color w:val="000000"/>
          <w:sz w:val="22"/>
          <w:szCs w:val="22"/>
          <w:lang w:val="en-GB" w:eastAsia="en-GB"/>
        </w:rPr>
        <w:t xml:space="preserve">Kenichiro joined Mitsui Sumitomo Insurance Co., Ltd. in June 2025 and serves as the Head of International Asset Management in Finance and Investment Planning Dept. In his previous role at MUFG Bank Ltd., he spent approximately 30 years working in Japan, the UK, and the US, engaging in Asset Liability Management and investment operations. </w:t>
      </w:r>
    </w:p>
    <w:p w14:paraId="6F7B9541" w14:textId="261656F8" w:rsidR="00B267F2" w:rsidRPr="00535C92" w:rsidRDefault="00B267F2" w:rsidP="00B267F2">
      <w:pPr>
        <w:jc w:val="both"/>
        <w:rPr>
          <w:rFonts w:ascii="Arial" w:eastAsia="Times New Roman" w:hAnsi="Arial" w:cs="Arial"/>
          <w:color w:val="000000"/>
          <w:sz w:val="22"/>
          <w:szCs w:val="22"/>
          <w:lang w:val="en-GB" w:eastAsia="en-GB"/>
        </w:rPr>
      </w:pPr>
      <w:r w:rsidRPr="00535C92">
        <w:rPr>
          <w:rFonts w:ascii="Arial" w:eastAsia="Times New Roman" w:hAnsi="Arial" w:cs="Arial"/>
          <w:color w:val="000000"/>
          <w:sz w:val="22"/>
          <w:szCs w:val="22"/>
          <w:lang w:val="en-GB" w:eastAsia="en-GB"/>
        </w:rPr>
        <w:t>He holds a bachelor's degree in law from Keio University and possesses the CMA qualification in Japan.</w:t>
      </w:r>
    </w:p>
    <w:p w14:paraId="64F9CD53" w14:textId="5B9C84C5" w:rsidR="005F688B" w:rsidRPr="008969D1" w:rsidRDefault="005F688B" w:rsidP="005F688B">
      <w:pPr>
        <w:jc w:val="both"/>
        <w:rPr>
          <w:rFonts w:ascii="Arial" w:eastAsia="Times New Roman" w:hAnsi="Arial" w:cs="Arial"/>
          <w:b/>
          <w:bCs/>
          <w:color w:val="000000"/>
          <w:sz w:val="22"/>
          <w:szCs w:val="22"/>
          <w:lang w:val="en-GB" w:eastAsia="en-GB"/>
        </w:rPr>
      </w:pPr>
      <w:r w:rsidRPr="00496C85">
        <w:rPr>
          <w:rFonts w:ascii="Arial" w:eastAsia="Times New Roman" w:hAnsi="Arial" w:cs="Arial"/>
          <w:b/>
          <w:bCs/>
          <w:color w:val="000000"/>
          <w:sz w:val="22"/>
          <w:szCs w:val="22"/>
          <w:lang w:val="en-GB" w:eastAsia="en-GB"/>
        </w:rPr>
        <w:t>Diversity of the Management Body</w:t>
      </w:r>
    </w:p>
    <w:p w14:paraId="6FB6DFA0" w14:textId="77777777" w:rsidR="003D0666" w:rsidRPr="005B1104" w:rsidRDefault="003D0666" w:rsidP="003D0666">
      <w:pPr>
        <w:jc w:val="both"/>
        <w:rPr>
          <w:lang w:val="en-GB" w:eastAsia="en-GB"/>
        </w:rPr>
      </w:pPr>
      <w:r w:rsidRPr="005B1104">
        <w:rPr>
          <w:lang w:val="en-GB" w:eastAsia="en-GB"/>
        </w:rPr>
        <w:t xml:space="preserve">The Firm has a Nomination Committee which has responsibility for promoting diversity in the management body.  The Terms of reference covering this include that the committee: </w:t>
      </w:r>
    </w:p>
    <w:p w14:paraId="0D35C434" w14:textId="7B2C7A0C" w:rsidR="003D0666" w:rsidRPr="005B1104" w:rsidRDefault="003D0666" w:rsidP="00DC2BB9">
      <w:pPr>
        <w:pStyle w:val="ListParagraph"/>
        <w:numPr>
          <w:ilvl w:val="0"/>
          <w:numId w:val="15"/>
        </w:numPr>
        <w:jc w:val="both"/>
        <w:rPr>
          <w:lang w:val="en-GB" w:eastAsia="en-GB"/>
        </w:rPr>
      </w:pPr>
      <w:r w:rsidRPr="005B1104">
        <w:rPr>
          <w:lang w:val="en-GB" w:eastAsia="en-GB"/>
        </w:rPr>
        <w:t>Regularly review the structure, size and composition (including the skills, knowledge, experience and diversity) of the Board, and make recommendations to the Board with regard to any changes.</w:t>
      </w:r>
    </w:p>
    <w:p w14:paraId="47E6C06F" w14:textId="478DEC84" w:rsidR="003D0666" w:rsidRPr="005B1104" w:rsidRDefault="003D0666" w:rsidP="00DC2BB9">
      <w:pPr>
        <w:pStyle w:val="ListParagraph"/>
        <w:numPr>
          <w:ilvl w:val="0"/>
          <w:numId w:val="15"/>
        </w:numPr>
        <w:jc w:val="both"/>
        <w:rPr>
          <w:lang w:val="en-GB" w:eastAsia="en-GB"/>
        </w:rPr>
      </w:pPr>
      <w:r w:rsidRPr="005B1104">
        <w:rPr>
          <w:lang w:val="en-GB" w:eastAsia="en-GB"/>
        </w:rPr>
        <w:t xml:space="preserve">Ensure that adequate succession planning is undertaken and maintained for all directors and senior management including all Senior Management  Function (‘SMF’) and Control Function (‘CF’) positions.   </w:t>
      </w:r>
    </w:p>
    <w:p w14:paraId="58846C1E" w14:textId="59A25878" w:rsidR="00D3155C" w:rsidRPr="00D3155C" w:rsidRDefault="003D0666" w:rsidP="00D3155C">
      <w:pPr>
        <w:pStyle w:val="ListParagraph"/>
        <w:numPr>
          <w:ilvl w:val="0"/>
          <w:numId w:val="15"/>
        </w:numPr>
        <w:jc w:val="both"/>
        <w:rPr>
          <w:lang w:val="en-GB" w:eastAsia="en-GB"/>
        </w:rPr>
      </w:pPr>
      <w:r w:rsidRPr="005B1104">
        <w:rPr>
          <w:lang w:val="en-GB" w:eastAsia="en-GB"/>
        </w:rPr>
        <w:t xml:space="preserve">Prior to appointment, consider all nominations of candidates for positions on the Board, for SMFs and CFs and make recommendations in respect of such nominations to the Board. </w:t>
      </w:r>
    </w:p>
    <w:p w14:paraId="4112D682" w14:textId="10594AAB" w:rsidR="00D3155C" w:rsidRDefault="003D0666" w:rsidP="00D3155C">
      <w:pPr>
        <w:ind w:left="360" w:hanging="360"/>
        <w:jc w:val="both"/>
        <w:rPr>
          <w:lang w:val="en-GB" w:eastAsia="en-GB"/>
        </w:rPr>
      </w:pPr>
      <w:r w:rsidRPr="00D3155C">
        <w:rPr>
          <w:lang w:val="en-GB" w:eastAsia="en-GB"/>
        </w:rPr>
        <w:t xml:space="preserve">Informal approvals via email may be obtained, followed by formal ratification at the next </w:t>
      </w:r>
      <w:r w:rsidR="00783E6A">
        <w:rPr>
          <w:lang w:val="en-GB" w:eastAsia="en-GB"/>
        </w:rPr>
        <w:t xml:space="preserve">Nomination </w:t>
      </w:r>
      <w:r w:rsidRPr="00D3155C">
        <w:rPr>
          <w:lang w:val="en-GB" w:eastAsia="en-GB"/>
        </w:rPr>
        <w:t>Committee</w:t>
      </w:r>
    </w:p>
    <w:p w14:paraId="65D8C086" w14:textId="6BE8124C" w:rsidR="003D0666" w:rsidRPr="00D3155C" w:rsidRDefault="003D0666" w:rsidP="00D3155C">
      <w:pPr>
        <w:ind w:left="360" w:hanging="360"/>
        <w:jc w:val="both"/>
        <w:rPr>
          <w:lang w:val="en-GB" w:eastAsia="en-GB"/>
        </w:rPr>
      </w:pPr>
      <w:r w:rsidRPr="00D3155C">
        <w:rPr>
          <w:lang w:val="en-GB" w:eastAsia="en-GB"/>
        </w:rPr>
        <w:t xml:space="preserve">meeting. </w:t>
      </w:r>
    </w:p>
    <w:p w14:paraId="475EAED1" w14:textId="474A4B5C" w:rsidR="003D0666" w:rsidRPr="005B1104" w:rsidRDefault="003D0666" w:rsidP="003D0666">
      <w:pPr>
        <w:jc w:val="both"/>
        <w:rPr>
          <w:lang w:val="en-GB" w:eastAsia="en-GB"/>
        </w:rPr>
      </w:pPr>
      <w:r w:rsidRPr="005B1104">
        <w:rPr>
          <w:lang w:val="en-GB" w:eastAsia="en-GB"/>
        </w:rPr>
        <w:t>In considering such nominations, the factors the Nomination Committee must consider shall include (but not be limited to):</w:t>
      </w:r>
    </w:p>
    <w:p w14:paraId="16657579" w14:textId="77777777" w:rsidR="003D0666" w:rsidRPr="005B1104" w:rsidRDefault="003D0666" w:rsidP="003D0666">
      <w:pPr>
        <w:jc w:val="both"/>
        <w:rPr>
          <w:lang w:val="en-GB" w:eastAsia="en-GB"/>
        </w:rPr>
      </w:pPr>
      <w:r w:rsidRPr="005B1104">
        <w:rPr>
          <w:lang w:val="en-GB" w:eastAsia="en-GB"/>
        </w:rPr>
        <w:t>•</w:t>
      </w:r>
      <w:r w:rsidRPr="005B1104">
        <w:rPr>
          <w:lang w:val="en-GB" w:eastAsia="en-GB"/>
        </w:rPr>
        <w:tab/>
        <w:t>the balance of skills, knowledge, experience and diversity on the Board;</w:t>
      </w:r>
    </w:p>
    <w:p w14:paraId="4D586BDD" w14:textId="77777777" w:rsidR="003D0666" w:rsidRPr="005B1104" w:rsidRDefault="003D0666" w:rsidP="003D0666">
      <w:pPr>
        <w:jc w:val="both"/>
        <w:rPr>
          <w:lang w:val="en-GB" w:eastAsia="en-GB"/>
        </w:rPr>
      </w:pPr>
      <w:r w:rsidRPr="005B1104">
        <w:rPr>
          <w:lang w:val="en-GB" w:eastAsia="en-GB"/>
        </w:rPr>
        <w:t>•</w:t>
      </w:r>
      <w:r w:rsidRPr="005B1104">
        <w:rPr>
          <w:lang w:val="en-GB" w:eastAsia="en-GB"/>
        </w:rPr>
        <w:tab/>
        <w:t>the need for diversity of background, skills and gender on the Board;</w:t>
      </w:r>
    </w:p>
    <w:p w14:paraId="542ECD02" w14:textId="77777777" w:rsidR="003D0666" w:rsidRPr="005B1104" w:rsidRDefault="003D0666" w:rsidP="003D0666">
      <w:pPr>
        <w:jc w:val="both"/>
        <w:rPr>
          <w:lang w:val="en-GB" w:eastAsia="en-GB"/>
        </w:rPr>
      </w:pPr>
      <w:r w:rsidRPr="005B1104">
        <w:rPr>
          <w:lang w:val="en-GB" w:eastAsia="en-GB"/>
        </w:rPr>
        <w:t>•</w:t>
      </w:r>
      <w:r w:rsidRPr="005B1104">
        <w:rPr>
          <w:lang w:val="en-GB" w:eastAsia="en-GB"/>
        </w:rPr>
        <w:tab/>
        <w:t>the relevant company’s requirements and expectations (including time commitment required) of any nominee;</w:t>
      </w:r>
    </w:p>
    <w:p w14:paraId="227BA9C2" w14:textId="77777777" w:rsidR="003D0666" w:rsidRPr="005B1104" w:rsidRDefault="003D0666" w:rsidP="003D0666">
      <w:pPr>
        <w:jc w:val="both"/>
        <w:rPr>
          <w:lang w:val="en-GB" w:eastAsia="en-GB"/>
        </w:rPr>
      </w:pPr>
      <w:r w:rsidRPr="005B1104">
        <w:rPr>
          <w:lang w:val="en-GB" w:eastAsia="en-GB"/>
        </w:rPr>
        <w:t>•</w:t>
      </w:r>
      <w:r w:rsidRPr="005B1104">
        <w:rPr>
          <w:lang w:val="en-GB" w:eastAsia="en-GB"/>
        </w:rPr>
        <w:tab/>
        <w:t>the nominee’s fit and proper assessment;</w:t>
      </w:r>
    </w:p>
    <w:p w14:paraId="7D2C3DC2" w14:textId="77777777" w:rsidR="003D0666" w:rsidRPr="005B1104" w:rsidRDefault="003D0666" w:rsidP="003D0666">
      <w:pPr>
        <w:jc w:val="both"/>
        <w:rPr>
          <w:lang w:val="en-GB" w:eastAsia="en-GB"/>
        </w:rPr>
      </w:pPr>
      <w:r w:rsidRPr="005B1104">
        <w:rPr>
          <w:lang w:val="en-GB" w:eastAsia="en-GB"/>
        </w:rPr>
        <w:lastRenderedPageBreak/>
        <w:t>•</w:t>
      </w:r>
      <w:r w:rsidRPr="005B1104">
        <w:rPr>
          <w:lang w:val="en-GB" w:eastAsia="en-GB"/>
        </w:rPr>
        <w:tab/>
        <w:t>references from the proposed appointees’ current and previous employers; and</w:t>
      </w:r>
    </w:p>
    <w:p w14:paraId="284E3D16" w14:textId="0502ADE5" w:rsidR="003D0666" w:rsidRPr="005B1104" w:rsidRDefault="003D0666" w:rsidP="003D0666">
      <w:pPr>
        <w:jc w:val="both"/>
        <w:rPr>
          <w:lang w:val="en-GB" w:eastAsia="en-GB"/>
        </w:rPr>
      </w:pPr>
      <w:r w:rsidRPr="005B1104">
        <w:rPr>
          <w:lang w:val="en-GB" w:eastAsia="en-GB"/>
        </w:rPr>
        <w:t>•</w:t>
      </w:r>
      <w:r w:rsidRPr="005B1104">
        <w:rPr>
          <w:lang w:val="en-GB" w:eastAsia="en-GB"/>
        </w:rPr>
        <w:tab/>
        <w:t xml:space="preserve">any other business interests of any nominee that may result in a conflict of interest.  </w:t>
      </w:r>
    </w:p>
    <w:p w14:paraId="584AF5C5" w14:textId="77777777" w:rsidR="005F688B" w:rsidRPr="00B67DE9" w:rsidRDefault="005F688B" w:rsidP="005F688B">
      <w:pPr>
        <w:jc w:val="both"/>
        <w:rPr>
          <w:b/>
          <w:bCs/>
          <w:lang w:val="en-GB" w:eastAsia="en-GB"/>
        </w:rPr>
      </w:pPr>
      <w:r w:rsidRPr="00B67DE9">
        <w:rPr>
          <w:b/>
          <w:bCs/>
          <w:lang w:val="en-GB" w:eastAsia="en-GB"/>
        </w:rPr>
        <w:t>Risk Committee</w:t>
      </w:r>
    </w:p>
    <w:p w14:paraId="3B498EEB" w14:textId="0D461B71" w:rsidR="005F688B" w:rsidRPr="00BC36E7" w:rsidRDefault="005F688B" w:rsidP="00EF25FE">
      <w:pPr>
        <w:jc w:val="both"/>
        <w:rPr>
          <w:lang w:val="en-GB" w:eastAsia="en-GB"/>
        </w:rPr>
      </w:pPr>
      <w:r w:rsidRPr="00DC2BB9">
        <w:rPr>
          <w:lang w:val="en-GB" w:eastAsia="en-GB"/>
        </w:rPr>
        <w:t>Due to the nature, size</w:t>
      </w:r>
      <w:r w:rsidR="008343AD" w:rsidRPr="00DC2BB9">
        <w:rPr>
          <w:lang w:val="en-GB" w:eastAsia="en-GB"/>
        </w:rPr>
        <w:t>,</w:t>
      </w:r>
      <w:r w:rsidRPr="00DC2BB9">
        <w:rPr>
          <w:lang w:val="en-GB" w:eastAsia="en-GB"/>
        </w:rPr>
        <w:t xml:space="preserve"> and complexity of the Firm, </w:t>
      </w:r>
      <w:r w:rsidR="00531412" w:rsidRPr="00DC2BB9">
        <w:rPr>
          <w:lang w:val="en-GB" w:eastAsia="en-GB"/>
        </w:rPr>
        <w:t>MS A</w:t>
      </w:r>
      <w:r w:rsidR="00F75DD0">
        <w:rPr>
          <w:lang w:val="en-GB" w:eastAsia="en-GB"/>
        </w:rPr>
        <w:t>IML</w:t>
      </w:r>
      <w:r w:rsidRPr="00DC2BB9">
        <w:rPr>
          <w:lang w:val="en-GB" w:eastAsia="en-GB"/>
        </w:rPr>
        <w:t xml:space="preserve"> does not have a</w:t>
      </w:r>
      <w:r w:rsidR="005536E0">
        <w:rPr>
          <w:lang w:val="en-GB" w:eastAsia="en-GB"/>
        </w:rPr>
        <w:t xml:space="preserve"> Risk Committee</w:t>
      </w:r>
      <w:r w:rsidRPr="00DC2BB9">
        <w:rPr>
          <w:lang w:val="en-GB" w:eastAsia="en-GB"/>
        </w:rPr>
        <w:t xml:space="preserve">. The </w:t>
      </w:r>
      <w:r w:rsidR="00B67DE9" w:rsidRPr="00DC2BB9">
        <w:rPr>
          <w:lang w:val="en-GB" w:eastAsia="en-GB"/>
        </w:rPr>
        <w:t>Governing Body</w:t>
      </w:r>
      <w:r w:rsidRPr="00DC2BB9">
        <w:rPr>
          <w:lang w:val="en-GB" w:eastAsia="en-GB"/>
        </w:rPr>
        <w:t xml:space="preserve"> is responsible for the management of risk within the Firm and the individual responsibilities </w:t>
      </w:r>
      <w:r w:rsidR="00C9304D" w:rsidRPr="00DC2BB9">
        <w:rPr>
          <w:lang w:val="en-GB" w:eastAsia="en-GB"/>
        </w:rPr>
        <w:t xml:space="preserve">of the Governing Body members </w:t>
      </w:r>
      <w:r w:rsidRPr="00DC2BB9">
        <w:rPr>
          <w:lang w:val="en-GB" w:eastAsia="en-GB"/>
        </w:rPr>
        <w:t>are clearly defined. Senior management report</w:t>
      </w:r>
      <w:r w:rsidR="00C9304D" w:rsidRPr="00DC2BB9">
        <w:rPr>
          <w:lang w:val="en-GB" w:eastAsia="en-GB"/>
        </w:rPr>
        <w:t>s</w:t>
      </w:r>
      <w:r w:rsidRPr="00DC2BB9">
        <w:rPr>
          <w:lang w:val="en-GB" w:eastAsia="en-GB"/>
        </w:rPr>
        <w:t xml:space="preserve"> to the Firm’s </w:t>
      </w:r>
      <w:r w:rsidR="00C9304D" w:rsidRPr="00DC2BB9">
        <w:rPr>
          <w:lang w:val="en-GB" w:eastAsia="en-GB"/>
        </w:rPr>
        <w:t>Governing Body</w:t>
      </w:r>
      <w:r w:rsidRPr="00DC2BB9">
        <w:rPr>
          <w:lang w:val="en-GB" w:eastAsia="en-GB"/>
        </w:rPr>
        <w:t xml:space="preserve"> on a frequent basis regarding the Firm’s risks. </w:t>
      </w:r>
      <w:r w:rsidR="00531412" w:rsidRPr="00DC2BB9">
        <w:rPr>
          <w:lang w:val="en-GB" w:eastAsia="en-GB"/>
        </w:rPr>
        <w:t>MS A</w:t>
      </w:r>
      <w:r w:rsidR="00F75DD0">
        <w:rPr>
          <w:lang w:val="en-GB" w:eastAsia="en-GB"/>
        </w:rPr>
        <w:t>IML</w:t>
      </w:r>
      <w:r w:rsidRPr="00DC2BB9">
        <w:rPr>
          <w:lang w:val="en-GB" w:eastAsia="en-GB"/>
        </w:rPr>
        <w:t xml:space="preserve"> has clearly documented policies and procedures, which are designed to minimise risks to the Firm and all staff</w:t>
      </w:r>
      <w:r w:rsidR="00C9304D" w:rsidRPr="00DC2BB9">
        <w:rPr>
          <w:lang w:val="en-GB" w:eastAsia="en-GB"/>
        </w:rPr>
        <w:t xml:space="preserve"> members</w:t>
      </w:r>
      <w:r w:rsidRPr="00DC2BB9">
        <w:rPr>
          <w:lang w:val="en-GB" w:eastAsia="en-GB"/>
        </w:rPr>
        <w:t xml:space="preserve"> are required to confirm that they have read and understood the</w:t>
      </w:r>
      <w:r w:rsidR="00C9304D" w:rsidRPr="00DC2BB9">
        <w:rPr>
          <w:lang w:val="en-GB" w:eastAsia="en-GB"/>
        </w:rPr>
        <w:t>se</w:t>
      </w:r>
      <w:r w:rsidRPr="00DC2BB9">
        <w:rPr>
          <w:lang w:val="en-GB" w:eastAsia="en-GB"/>
        </w:rPr>
        <w:t xml:space="preserve">. </w:t>
      </w:r>
      <w:r w:rsidR="00531412" w:rsidRPr="00DC2BB9">
        <w:rPr>
          <w:lang w:val="en-GB" w:eastAsia="en-GB"/>
        </w:rPr>
        <w:t>MS A</w:t>
      </w:r>
      <w:r w:rsidR="00F75DD0">
        <w:rPr>
          <w:lang w:val="en-GB" w:eastAsia="en-GB"/>
        </w:rPr>
        <w:t>IML</w:t>
      </w:r>
      <w:r w:rsidRPr="00DC2BB9">
        <w:rPr>
          <w:lang w:val="en-GB" w:eastAsia="en-GB"/>
        </w:rPr>
        <w:t xml:space="preserve"> is not required by MIFIDPRU to establish a risk committee.</w:t>
      </w:r>
    </w:p>
    <w:p w14:paraId="216370CC" w14:textId="4F94ED61" w:rsidR="00EF25FE" w:rsidRPr="00245D0D" w:rsidRDefault="00EF25FE" w:rsidP="00F501B4">
      <w:pPr>
        <w:pStyle w:val="Heading3"/>
        <w:rPr>
          <w:rFonts w:ascii="Arial" w:eastAsia="Times New Roman" w:hAnsi="Arial" w:cs="Times New Roman"/>
          <w:b/>
          <w:bCs/>
          <w:i w:val="0"/>
          <w:iCs w:val="0"/>
          <w:color w:val="000000"/>
          <w:sz w:val="32"/>
          <w:szCs w:val="26"/>
          <w:lang w:val="en-GB" w:eastAsia="en-GB"/>
        </w:rPr>
      </w:pPr>
      <w:r w:rsidRPr="00245D0D">
        <w:rPr>
          <w:rFonts w:ascii="Arial" w:eastAsia="Times New Roman" w:hAnsi="Arial" w:cs="Times New Roman"/>
          <w:b/>
          <w:bCs/>
          <w:i w:val="0"/>
          <w:iCs w:val="0"/>
          <w:color w:val="000000"/>
          <w:sz w:val="32"/>
          <w:szCs w:val="26"/>
          <w:lang w:val="en-GB" w:eastAsia="en-GB"/>
        </w:rPr>
        <w:t xml:space="preserve">Own Funds </w:t>
      </w:r>
    </w:p>
    <w:p w14:paraId="6DE93130" w14:textId="3BA3F60C" w:rsidR="00D3155C" w:rsidRDefault="00EF25FE" w:rsidP="00EF25FE">
      <w:pPr>
        <w:jc w:val="both"/>
        <w:rPr>
          <w:rFonts w:asciiTheme="majorHAnsi" w:hAnsiTheme="majorHAnsi" w:cstheme="majorHAnsi"/>
          <w:sz w:val="20"/>
          <w:szCs w:val="20"/>
        </w:rPr>
      </w:pPr>
      <w:r w:rsidRPr="00B50967">
        <w:rPr>
          <w:rFonts w:asciiTheme="majorHAnsi" w:hAnsiTheme="majorHAnsi" w:cstheme="majorHAnsi"/>
          <w:sz w:val="20"/>
          <w:szCs w:val="20"/>
        </w:rPr>
        <w:t xml:space="preserve">As at </w:t>
      </w:r>
      <w:r w:rsidRPr="00512BD9">
        <w:rPr>
          <w:rFonts w:asciiTheme="majorHAnsi" w:hAnsiTheme="majorHAnsi" w:cstheme="majorHAnsi"/>
          <w:sz w:val="20"/>
          <w:szCs w:val="20"/>
        </w:rPr>
        <w:t>31 December</w:t>
      </w:r>
      <w:r w:rsidR="00636224">
        <w:rPr>
          <w:rFonts w:asciiTheme="majorHAnsi" w:hAnsiTheme="majorHAnsi" w:cstheme="majorHAnsi"/>
          <w:sz w:val="20"/>
          <w:szCs w:val="20"/>
        </w:rPr>
        <w:t xml:space="preserve"> 202</w:t>
      </w:r>
      <w:r w:rsidR="000A01E2">
        <w:rPr>
          <w:rFonts w:asciiTheme="majorHAnsi" w:hAnsiTheme="majorHAnsi" w:cstheme="majorHAnsi"/>
          <w:sz w:val="20"/>
          <w:szCs w:val="20"/>
        </w:rPr>
        <w:t>5</w:t>
      </w:r>
      <w:r w:rsidRPr="00B50967">
        <w:rPr>
          <w:rFonts w:asciiTheme="majorHAnsi" w:hAnsiTheme="majorHAnsi" w:cstheme="majorHAnsi"/>
          <w:sz w:val="20"/>
          <w:szCs w:val="20"/>
        </w:rPr>
        <w:t xml:space="preserve">, </w:t>
      </w:r>
      <w:r w:rsidR="00531412">
        <w:rPr>
          <w:rFonts w:asciiTheme="majorHAnsi" w:hAnsiTheme="majorHAnsi" w:cstheme="majorHAnsi"/>
          <w:sz w:val="20"/>
          <w:szCs w:val="20"/>
        </w:rPr>
        <w:t>MS A</w:t>
      </w:r>
      <w:r w:rsidR="00F75DD0">
        <w:rPr>
          <w:rFonts w:asciiTheme="majorHAnsi" w:hAnsiTheme="majorHAnsi" w:cstheme="majorHAnsi"/>
          <w:sz w:val="20"/>
          <w:szCs w:val="20"/>
        </w:rPr>
        <w:t>IML</w:t>
      </w:r>
      <w:r w:rsidRPr="00B50967">
        <w:rPr>
          <w:rFonts w:asciiTheme="majorHAnsi" w:hAnsiTheme="majorHAnsi" w:cstheme="majorHAnsi"/>
          <w:sz w:val="20"/>
          <w:szCs w:val="20"/>
        </w:rPr>
        <w:t xml:space="preserve"> maintained own funds of </w:t>
      </w:r>
      <w:r w:rsidR="000E6EF9" w:rsidRPr="009F5BBD">
        <w:rPr>
          <w:rFonts w:asciiTheme="majorHAnsi" w:hAnsiTheme="majorHAnsi" w:cstheme="majorHAnsi"/>
          <w:sz w:val="20"/>
          <w:szCs w:val="20"/>
        </w:rPr>
        <w:t>£</w:t>
      </w:r>
      <w:r w:rsidR="00781230" w:rsidRPr="009F5BBD">
        <w:rPr>
          <w:rFonts w:asciiTheme="majorHAnsi" w:hAnsiTheme="majorHAnsi" w:cstheme="majorHAnsi"/>
          <w:sz w:val="20"/>
          <w:szCs w:val="20"/>
        </w:rPr>
        <w:t>14,</w:t>
      </w:r>
      <w:r w:rsidR="009F5BBD" w:rsidRPr="009F5BBD">
        <w:rPr>
          <w:rFonts w:asciiTheme="majorHAnsi" w:hAnsiTheme="majorHAnsi" w:cstheme="majorHAnsi"/>
          <w:sz w:val="20"/>
          <w:szCs w:val="20"/>
        </w:rPr>
        <w:t>649</w:t>
      </w:r>
      <w:r w:rsidRPr="00B50967">
        <w:rPr>
          <w:rFonts w:asciiTheme="majorHAnsi" w:hAnsiTheme="majorHAnsi" w:cstheme="majorHAnsi"/>
          <w:sz w:val="20"/>
          <w:szCs w:val="20"/>
        </w:rPr>
        <w:t xml:space="preserve"> The below regulator-prescribed tables provide a breakdown of the Firm’s own funds:</w:t>
      </w:r>
    </w:p>
    <w:tbl>
      <w:tblPr>
        <w:tblpPr w:leftFromText="180" w:rightFromText="180" w:vertAnchor="text" w:horzAnchor="margin" w:tblpY="1460"/>
        <w:tblW w:w="9243" w:type="dxa"/>
        <w:tblLook w:val="04A0" w:firstRow="1" w:lastRow="0" w:firstColumn="1" w:lastColumn="0" w:noHBand="0" w:noVBand="1"/>
      </w:tblPr>
      <w:tblGrid>
        <w:gridCol w:w="507"/>
        <w:gridCol w:w="5108"/>
        <w:gridCol w:w="1568"/>
        <w:gridCol w:w="2060"/>
      </w:tblGrid>
      <w:tr w:rsidR="005B198A" w:rsidRPr="00B50967" w14:paraId="3639D5D7" w14:textId="77777777" w:rsidTr="008A35DB">
        <w:trPr>
          <w:trHeight w:val="418"/>
        </w:trPr>
        <w:tc>
          <w:tcPr>
            <w:tcW w:w="9243" w:type="dxa"/>
            <w:gridSpan w:val="4"/>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7254B1E7" w14:textId="77777777" w:rsidR="005B198A" w:rsidRPr="00D60717" w:rsidRDefault="005B198A" w:rsidP="008A35DB">
            <w:pPr>
              <w:jc w:val="center"/>
              <w:rPr>
                <w:rFonts w:eastAsia="Times New Roman" w:cstheme="minorHAnsi"/>
                <w:b/>
                <w:bCs/>
                <w:color w:val="FFFFFF" w:themeColor="background1"/>
                <w:sz w:val="20"/>
                <w:szCs w:val="20"/>
                <w:lang w:val="en-GB" w:eastAsia="en-GB"/>
              </w:rPr>
            </w:pPr>
            <w:r w:rsidRPr="00D60717">
              <w:rPr>
                <w:rFonts w:eastAsia="Times New Roman" w:cstheme="minorHAnsi"/>
                <w:b/>
                <w:bCs/>
                <w:color w:val="FFFFFF" w:themeColor="background1"/>
                <w:sz w:val="20"/>
                <w:szCs w:val="20"/>
                <w:lang w:val="en-GB" w:eastAsia="en-GB"/>
              </w:rPr>
              <w:t>Composition of Regulatory Own Funds</w:t>
            </w:r>
          </w:p>
        </w:tc>
      </w:tr>
      <w:tr w:rsidR="005B198A" w:rsidRPr="00B50967" w14:paraId="7CE602A4" w14:textId="77777777" w:rsidTr="008A35DB">
        <w:trPr>
          <w:trHeight w:val="1117"/>
        </w:trPr>
        <w:tc>
          <w:tcPr>
            <w:tcW w:w="507" w:type="dxa"/>
            <w:tcBorders>
              <w:top w:val="nil"/>
              <w:left w:val="single" w:sz="4" w:space="0" w:color="auto"/>
              <w:bottom w:val="single" w:sz="4" w:space="0" w:color="auto"/>
              <w:right w:val="single" w:sz="4" w:space="0" w:color="auto"/>
            </w:tcBorders>
            <w:shd w:val="clear" w:color="auto" w:fill="006CA9"/>
            <w:noWrap/>
            <w:vAlign w:val="bottom"/>
            <w:hideMark/>
          </w:tcPr>
          <w:p w14:paraId="63CD7ABC" w14:textId="77777777" w:rsidR="005B198A" w:rsidRPr="00B50967" w:rsidRDefault="005B198A" w:rsidP="008A35DB">
            <w:pPr>
              <w:spacing w:before="0" w:after="0" w:line="240" w:lineRule="auto"/>
              <w:jc w:val="both"/>
              <w:rPr>
                <w:rFonts w:eastAsia="Times New Roman" w:cstheme="minorHAnsi"/>
                <w:b/>
                <w:bCs/>
                <w:color w:val="000000"/>
                <w:sz w:val="20"/>
                <w:szCs w:val="20"/>
                <w:lang w:val="en-GB" w:eastAsia="en-GB"/>
              </w:rPr>
            </w:pPr>
          </w:p>
        </w:tc>
        <w:tc>
          <w:tcPr>
            <w:tcW w:w="5108" w:type="dxa"/>
            <w:tcBorders>
              <w:top w:val="nil"/>
              <w:left w:val="nil"/>
              <w:bottom w:val="single" w:sz="4" w:space="0" w:color="auto"/>
              <w:right w:val="single" w:sz="4" w:space="0" w:color="auto"/>
            </w:tcBorders>
            <w:shd w:val="clear" w:color="auto" w:fill="006CA9"/>
            <w:noWrap/>
            <w:hideMark/>
          </w:tcPr>
          <w:p w14:paraId="5CEA7222" w14:textId="77777777" w:rsidR="005B198A" w:rsidRPr="00D60717" w:rsidRDefault="005B198A" w:rsidP="008A35DB">
            <w:pPr>
              <w:jc w:val="both"/>
              <w:rPr>
                <w:rFonts w:eastAsia="Times New Roman" w:cstheme="minorHAnsi"/>
                <w:b/>
                <w:bCs/>
                <w:color w:val="FFFFFF" w:themeColor="background1"/>
                <w:sz w:val="20"/>
                <w:szCs w:val="20"/>
                <w:lang w:val="en-GB" w:eastAsia="en-GB"/>
              </w:rPr>
            </w:pPr>
            <w:r w:rsidRPr="00D60717">
              <w:rPr>
                <w:rFonts w:eastAsia="Times New Roman" w:cstheme="minorHAnsi"/>
                <w:b/>
                <w:bCs/>
                <w:color w:val="FFFFFF" w:themeColor="background1"/>
                <w:sz w:val="20"/>
                <w:szCs w:val="20"/>
                <w:lang w:val="en-GB" w:eastAsia="en-GB"/>
              </w:rPr>
              <w:t>Item</w:t>
            </w:r>
          </w:p>
        </w:tc>
        <w:tc>
          <w:tcPr>
            <w:tcW w:w="1568" w:type="dxa"/>
            <w:tcBorders>
              <w:top w:val="nil"/>
              <w:left w:val="nil"/>
              <w:bottom w:val="single" w:sz="4" w:space="0" w:color="auto"/>
              <w:right w:val="single" w:sz="4" w:space="0" w:color="auto"/>
            </w:tcBorders>
            <w:shd w:val="clear" w:color="auto" w:fill="006CA9"/>
            <w:hideMark/>
          </w:tcPr>
          <w:p w14:paraId="29297B83" w14:textId="77777777" w:rsidR="005B198A" w:rsidRPr="00D60717" w:rsidRDefault="005B198A" w:rsidP="008A35DB">
            <w:pPr>
              <w:jc w:val="both"/>
              <w:rPr>
                <w:rFonts w:eastAsia="Times New Roman" w:cstheme="minorHAnsi"/>
                <w:b/>
                <w:bCs/>
                <w:color w:val="FFFFFF" w:themeColor="background1"/>
                <w:sz w:val="20"/>
                <w:szCs w:val="20"/>
                <w:lang w:val="en-GB" w:eastAsia="en-GB"/>
              </w:rPr>
            </w:pPr>
            <w:r w:rsidRPr="00D60717">
              <w:rPr>
                <w:rFonts w:eastAsia="Times New Roman" w:cstheme="minorHAnsi"/>
                <w:b/>
                <w:bCs/>
                <w:color w:val="FFFFFF" w:themeColor="background1"/>
                <w:sz w:val="20"/>
                <w:szCs w:val="20"/>
                <w:lang w:val="en-GB" w:eastAsia="en-GB"/>
              </w:rPr>
              <w:t>Amount (GBP Thousands)</w:t>
            </w:r>
          </w:p>
        </w:tc>
        <w:tc>
          <w:tcPr>
            <w:tcW w:w="2059" w:type="dxa"/>
            <w:tcBorders>
              <w:top w:val="nil"/>
              <w:left w:val="nil"/>
              <w:bottom w:val="single" w:sz="4" w:space="0" w:color="auto"/>
              <w:right w:val="single" w:sz="4" w:space="0" w:color="auto"/>
            </w:tcBorders>
            <w:shd w:val="clear" w:color="auto" w:fill="006CA9"/>
            <w:hideMark/>
          </w:tcPr>
          <w:p w14:paraId="37741F6A" w14:textId="77777777" w:rsidR="005B198A" w:rsidRPr="00D60717" w:rsidRDefault="005B198A" w:rsidP="008A35DB">
            <w:pPr>
              <w:jc w:val="both"/>
              <w:rPr>
                <w:rFonts w:eastAsia="Times New Roman" w:cstheme="minorHAnsi"/>
                <w:b/>
                <w:bCs/>
                <w:color w:val="FFFFFF" w:themeColor="background1"/>
                <w:sz w:val="20"/>
                <w:szCs w:val="20"/>
                <w:lang w:val="en-GB" w:eastAsia="en-GB"/>
              </w:rPr>
            </w:pPr>
            <w:r w:rsidRPr="00D60717">
              <w:rPr>
                <w:rFonts w:eastAsia="Times New Roman" w:cstheme="minorHAnsi"/>
                <w:b/>
                <w:bCs/>
                <w:color w:val="FFFFFF" w:themeColor="background1"/>
                <w:sz w:val="20"/>
                <w:szCs w:val="20"/>
                <w:lang w:val="en-GB" w:eastAsia="en-GB"/>
              </w:rPr>
              <w:t>Source Based on Reference Numbers/Letters of the Balance Sheet in the Audited Financial Statements</w:t>
            </w:r>
          </w:p>
        </w:tc>
      </w:tr>
      <w:tr w:rsidR="005B198A" w:rsidRPr="00B50967" w14:paraId="0578D6B1"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1F004551" w14:textId="77777777" w:rsidR="005B198A" w:rsidRPr="00151C35" w:rsidRDefault="005B198A" w:rsidP="008A35DB">
            <w:pPr>
              <w:jc w:val="both"/>
              <w:rPr>
                <w:rFonts w:eastAsia="Times New Roman" w:cstheme="minorHAnsi"/>
                <w:b/>
                <w:bCs/>
                <w:color w:val="000000"/>
                <w:sz w:val="20"/>
                <w:szCs w:val="20"/>
                <w:lang w:val="en-GB" w:eastAsia="en-GB"/>
              </w:rPr>
            </w:pPr>
            <w:r w:rsidRPr="00151C35">
              <w:rPr>
                <w:rFonts w:eastAsia="Times New Roman" w:cstheme="minorHAnsi"/>
                <w:b/>
                <w:bCs/>
                <w:color w:val="000000"/>
                <w:sz w:val="20"/>
                <w:szCs w:val="20"/>
                <w:lang w:val="en-GB" w:eastAsia="en-GB"/>
              </w:rPr>
              <w:t>1</w:t>
            </w:r>
          </w:p>
        </w:tc>
        <w:tc>
          <w:tcPr>
            <w:tcW w:w="5108" w:type="dxa"/>
            <w:tcBorders>
              <w:top w:val="nil"/>
              <w:left w:val="nil"/>
              <w:bottom w:val="single" w:sz="4" w:space="0" w:color="auto"/>
              <w:right w:val="single" w:sz="4" w:space="0" w:color="auto"/>
            </w:tcBorders>
            <w:noWrap/>
            <w:vAlign w:val="bottom"/>
            <w:hideMark/>
          </w:tcPr>
          <w:p w14:paraId="686FF217" w14:textId="77777777" w:rsidR="005B198A" w:rsidRPr="00B50967" w:rsidRDefault="005B198A" w:rsidP="008A35DB">
            <w:pPr>
              <w:jc w:val="both"/>
              <w:rPr>
                <w:rFonts w:eastAsia="Times New Roman" w:cstheme="minorHAnsi"/>
                <w:b/>
                <w:bCs/>
                <w:color w:val="000000"/>
                <w:sz w:val="20"/>
                <w:szCs w:val="20"/>
                <w:lang w:val="en-GB" w:eastAsia="en-GB"/>
              </w:rPr>
            </w:pPr>
            <w:r w:rsidRPr="00B50967">
              <w:rPr>
                <w:rFonts w:eastAsia="Times New Roman" w:cstheme="minorHAnsi"/>
                <w:b/>
                <w:bCs/>
                <w:color w:val="000000"/>
                <w:sz w:val="20"/>
                <w:szCs w:val="20"/>
                <w:lang w:val="en-GB" w:eastAsia="en-GB"/>
              </w:rPr>
              <w:t>OWN FUNDS</w:t>
            </w:r>
          </w:p>
        </w:tc>
        <w:tc>
          <w:tcPr>
            <w:tcW w:w="1568" w:type="dxa"/>
            <w:tcBorders>
              <w:top w:val="nil"/>
              <w:left w:val="nil"/>
              <w:bottom w:val="single" w:sz="4" w:space="0" w:color="auto"/>
              <w:right w:val="single" w:sz="4" w:space="0" w:color="auto"/>
            </w:tcBorders>
            <w:noWrap/>
            <w:vAlign w:val="bottom"/>
            <w:hideMark/>
          </w:tcPr>
          <w:p w14:paraId="29A74901" w14:textId="3C3F6068" w:rsidR="005B198A" w:rsidRPr="00B50967" w:rsidRDefault="007C63C4" w:rsidP="008A35DB">
            <w:pPr>
              <w:jc w:val="both"/>
              <w:rPr>
                <w:rFonts w:eastAsia="Times New Roman" w:cstheme="minorHAnsi"/>
                <w:b/>
                <w:bCs/>
                <w:color w:val="000000"/>
                <w:sz w:val="20"/>
                <w:szCs w:val="20"/>
                <w:lang w:val="en-GB" w:eastAsia="en-GB"/>
              </w:rPr>
            </w:pPr>
            <w:r>
              <w:rPr>
                <w:rFonts w:eastAsia="Times New Roman" w:cstheme="minorHAnsi"/>
                <w:b/>
                <w:bCs/>
                <w:color w:val="000000"/>
                <w:sz w:val="20"/>
                <w:szCs w:val="20"/>
                <w:lang w:val="en-GB" w:eastAsia="en-GB"/>
              </w:rPr>
              <w:t>14,</w:t>
            </w:r>
            <w:r w:rsidR="009F5BBD">
              <w:rPr>
                <w:rFonts w:eastAsia="Times New Roman" w:cstheme="minorHAnsi"/>
                <w:b/>
                <w:bCs/>
                <w:color w:val="000000"/>
                <w:sz w:val="20"/>
                <w:szCs w:val="20"/>
                <w:lang w:val="en-GB" w:eastAsia="en-GB"/>
              </w:rPr>
              <w:t>649</w:t>
            </w:r>
          </w:p>
        </w:tc>
        <w:tc>
          <w:tcPr>
            <w:tcW w:w="2059" w:type="dxa"/>
            <w:tcBorders>
              <w:top w:val="nil"/>
              <w:left w:val="nil"/>
              <w:bottom w:val="single" w:sz="4" w:space="0" w:color="auto"/>
              <w:right w:val="single" w:sz="4" w:space="0" w:color="auto"/>
            </w:tcBorders>
            <w:noWrap/>
            <w:vAlign w:val="bottom"/>
            <w:hideMark/>
          </w:tcPr>
          <w:p w14:paraId="11A86D61"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11C27915"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07D0FD7A" w14:textId="77777777" w:rsidR="005B198A" w:rsidRPr="00151C35" w:rsidRDefault="005B198A" w:rsidP="008A35DB">
            <w:pPr>
              <w:jc w:val="both"/>
              <w:rPr>
                <w:rFonts w:eastAsia="Times New Roman" w:cstheme="minorHAnsi"/>
                <w:b/>
                <w:bCs/>
                <w:color w:val="000000"/>
                <w:sz w:val="20"/>
                <w:szCs w:val="20"/>
                <w:lang w:val="en-GB" w:eastAsia="en-GB"/>
              </w:rPr>
            </w:pPr>
            <w:r w:rsidRPr="00151C35">
              <w:rPr>
                <w:rFonts w:eastAsia="Times New Roman" w:cstheme="minorHAnsi"/>
                <w:b/>
                <w:bCs/>
                <w:color w:val="000000"/>
                <w:sz w:val="20"/>
                <w:szCs w:val="20"/>
                <w:lang w:val="en-GB" w:eastAsia="en-GB"/>
              </w:rPr>
              <w:t>2</w:t>
            </w:r>
          </w:p>
        </w:tc>
        <w:tc>
          <w:tcPr>
            <w:tcW w:w="5108" w:type="dxa"/>
            <w:tcBorders>
              <w:top w:val="nil"/>
              <w:left w:val="nil"/>
              <w:bottom w:val="single" w:sz="4" w:space="0" w:color="auto"/>
              <w:right w:val="single" w:sz="4" w:space="0" w:color="auto"/>
            </w:tcBorders>
            <w:noWrap/>
            <w:vAlign w:val="bottom"/>
            <w:hideMark/>
          </w:tcPr>
          <w:p w14:paraId="7798D522" w14:textId="77777777" w:rsidR="005B198A" w:rsidRPr="00B50967" w:rsidRDefault="005B198A" w:rsidP="008A35DB">
            <w:pPr>
              <w:jc w:val="both"/>
              <w:rPr>
                <w:rFonts w:eastAsia="Times New Roman" w:cstheme="minorHAnsi"/>
                <w:b/>
                <w:bCs/>
                <w:color w:val="000000"/>
                <w:sz w:val="20"/>
                <w:szCs w:val="20"/>
                <w:lang w:val="en-GB" w:eastAsia="en-GB"/>
              </w:rPr>
            </w:pPr>
            <w:r w:rsidRPr="00B50967">
              <w:rPr>
                <w:rFonts w:eastAsia="Times New Roman" w:cstheme="minorHAnsi"/>
                <w:b/>
                <w:bCs/>
                <w:color w:val="000000"/>
                <w:sz w:val="20"/>
                <w:szCs w:val="20"/>
                <w:lang w:val="en-GB" w:eastAsia="en-GB"/>
              </w:rPr>
              <w:t>TIER 1 CAPITAL</w:t>
            </w:r>
          </w:p>
        </w:tc>
        <w:tc>
          <w:tcPr>
            <w:tcW w:w="1568" w:type="dxa"/>
            <w:tcBorders>
              <w:top w:val="nil"/>
              <w:left w:val="nil"/>
              <w:bottom w:val="single" w:sz="4" w:space="0" w:color="auto"/>
              <w:right w:val="single" w:sz="4" w:space="0" w:color="auto"/>
            </w:tcBorders>
            <w:noWrap/>
            <w:vAlign w:val="bottom"/>
            <w:hideMark/>
          </w:tcPr>
          <w:p w14:paraId="3D3572D0" w14:textId="66625670" w:rsidR="005B198A" w:rsidRPr="00B50967" w:rsidRDefault="007C63C4" w:rsidP="008A35DB">
            <w:pPr>
              <w:jc w:val="both"/>
              <w:rPr>
                <w:rFonts w:eastAsia="Times New Roman" w:cstheme="minorHAnsi"/>
                <w:b/>
                <w:bCs/>
                <w:color w:val="000000"/>
                <w:sz w:val="20"/>
                <w:szCs w:val="20"/>
                <w:lang w:val="en-GB" w:eastAsia="en-GB"/>
              </w:rPr>
            </w:pPr>
            <w:r>
              <w:rPr>
                <w:rFonts w:eastAsia="Times New Roman" w:cstheme="minorHAnsi"/>
                <w:b/>
                <w:bCs/>
                <w:color w:val="000000"/>
                <w:sz w:val="20"/>
                <w:szCs w:val="20"/>
                <w:lang w:val="en-GB" w:eastAsia="en-GB"/>
              </w:rPr>
              <w:t>14,</w:t>
            </w:r>
            <w:r w:rsidR="009F5BBD">
              <w:rPr>
                <w:rFonts w:eastAsia="Times New Roman" w:cstheme="minorHAnsi"/>
                <w:b/>
                <w:bCs/>
                <w:color w:val="000000"/>
                <w:sz w:val="20"/>
                <w:szCs w:val="20"/>
                <w:lang w:val="en-GB" w:eastAsia="en-GB"/>
              </w:rPr>
              <w:t>649</w:t>
            </w:r>
          </w:p>
        </w:tc>
        <w:tc>
          <w:tcPr>
            <w:tcW w:w="2059" w:type="dxa"/>
            <w:tcBorders>
              <w:top w:val="nil"/>
              <w:left w:val="nil"/>
              <w:bottom w:val="single" w:sz="4" w:space="0" w:color="auto"/>
              <w:right w:val="single" w:sz="4" w:space="0" w:color="auto"/>
            </w:tcBorders>
            <w:noWrap/>
            <w:vAlign w:val="bottom"/>
            <w:hideMark/>
          </w:tcPr>
          <w:p w14:paraId="468259F9"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58F4C0E9"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6CABC303" w14:textId="77777777" w:rsidR="005B198A" w:rsidRPr="00151C35" w:rsidRDefault="005B198A" w:rsidP="008A35DB">
            <w:pPr>
              <w:jc w:val="both"/>
              <w:rPr>
                <w:rFonts w:eastAsia="Times New Roman" w:cstheme="minorHAnsi"/>
                <w:b/>
                <w:bCs/>
                <w:color w:val="000000"/>
                <w:sz w:val="20"/>
                <w:szCs w:val="20"/>
                <w:lang w:val="en-GB" w:eastAsia="en-GB"/>
              </w:rPr>
            </w:pPr>
            <w:r w:rsidRPr="00151C35">
              <w:rPr>
                <w:rFonts w:eastAsia="Times New Roman" w:cstheme="minorHAnsi"/>
                <w:b/>
                <w:bCs/>
                <w:color w:val="000000"/>
                <w:sz w:val="20"/>
                <w:szCs w:val="20"/>
                <w:lang w:val="en-GB" w:eastAsia="en-GB"/>
              </w:rPr>
              <w:t>3</w:t>
            </w:r>
          </w:p>
        </w:tc>
        <w:tc>
          <w:tcPr>
            <w:tcW w:w="5108" w:type="dxa"/>
            <w:tcBorders>
              <w:top w:val="nil"/>
              <w:left w:val="nil"/>
              <w:bottom w:val="single" w:sz="4" w:space="0" w:color="auto"/>
              <w:right w:val="single" w:sz="4" w:space="0" w:color="auto"/>
            </w:tcBorders>
            <w:noWrap/>
            <w:vAlign w:val="bottom"/>
            <w:hideMark/>
          </w:tcPr>
          <w:p w14:paraId="146546A0" w14:textId="77777777" w:rsidR="005B198A" w:rsidRPr="00B50967" w:rsidRDefault="005B198A" w:rsidP="008A35DB">
            <w:pPr>
              <w:jc w:val="both"/>
              <w:rPr>
                <w:rFonts w:eastAsia="Times New Roman" w:cstheme="minorHAnsi"/>
                <w:b/>
                <w:bCs/>
                <w:color w:val="000000"/>
                <w:sz w:val="20"/>
                <w:szCs w:val="20"/>
                <w:lang w:val="en-GB" w:eastAsia="en-GB"/>
              </w:rPr>
            </w:pPr>
            <w:r w:rsidRPr="00B50967">
              <w:rPr>
                <w:rFonts w:eastAsia="Times New Roman" w:cstheme="minorHAnsi"/>
                <w:b/>
                <w:bCs/>
                <w:color w:val="000000"/>
                <w:sz w:val="20"/>
                <w:szCs w:val="20"/>
                <w:lang w:val="en-GB" w:eastAsia="en-GB"/>
              </w:rPr>
              <w:t>COMMON EQUITY TIER 1 CAPITAL</w:t>
            </w:r>
          </w:p>
        </w:tc>
        <w:tc>
          <w:tcPr>
            <w:tcW w:w="1568" w:type="dxa"/>
            <w:tcBorders>
              <w:top w:val="nil"/>
              <w:left w:val="nil"/>
              <w:bottom w:val="single" w:sz="4" w:space="0" w:color="auto"/>
              <w:right w:val="single" w:sz="4" w:space="0" w:color="auto"/>
            </w:tcBorders>
            <w:noWrap/>
            <w:vAlign w:val="bottom"/>
            <w:hideMark/>
          </w:tcPr>
          <w:p w14:paraId="0C531769" w14:textId="659AECAA" w:rsidR="005B198A" w:rsidRPr="00B50967" w:rsidRDefault="007C63C4" w:rsidP="008A35DB">
            <w:pPr>
              <w:jc w:val="both"/>
              <w:rPr>
                <w:rFonts w:eastAsia="Times New Roman" w:cstheme="minorHAnsi"/>
                <w:b/>
                <w:bCs/>
                <w:color w:val="000000"/>
                <w:sz w:val="20"/>
                <w:szCs w:val="20"/>
                <w:lang w:val="en-GB" w:eastAsia="en-GB"/>
              </w:rPr>
            </w:pPr>
            <w:r>
              <w:rPr>
                <w:rFonts w:eastAsia="Times New Roman" w:cstheme="minorHAnsi"/>
                <w:b/>
                <w:bCs/>
                <w:color w:val="000000"/>
                <w:sz w:val="20"/>
                <w:szCs w:val="20"/>
                <w:lang w:val="en-GB" w:eastAsia="en-GB"/>
              </w:rPr>
              <w:t>14,</w:t>
            </w:r>
            <w:r w:rsidR="009F5BBD">
              <w:rPr>
                <w:rFonts w:eastAsia="Times New Roman" w:cstheme="minorHAnsi"/>
                <w:b/>
                <w:bCs/>
                <w:color w:val="000000"/>
                <w:sz w:val="20"/>
                <w:szCs w:val="20"/>
                <w:lang w:val="en-GB" w:eastAsia="en-GB"/>
              </w:rPr>
              <w:t>649</w:t>
            </w:r>
          </w:p>
        </w:tc>
        <w:tc>
          <w:tcPr>
            <w:tcW w:w="2059" w:type="dxa"/>
            <w:tcBorders>
              <w:top w:val="nil"/>
              <w:left w:val="nil"/>
              <w:bottom w:val="single" w:sz="4" w:space="0" w:color="auto"/>
              <w:right w:val="single" w:sz="4" w:space="0" w:color="auto"/>
            </w:tcBorders>
            <w:noWrap/>
            <w:vAlign w:val="bottom"/>
            <w:hideMark/>
          </w:tcPr>
          <w:p w14:paraId="6AB5BBDB"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0DD82359"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40998A41"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4</w:t>
            </w:r>
          </w:p>
        </w:tc>
        <w:tc>
          <w:tcPr>
            <w:tcW w:w="5108" w:type="dxa"/>
            <w:tcBorders>
              <w:top w:val="nil"/>
              <w:left w:val="nil"/>
              <w:bottom w:val="single" w:sz="4" w:space="0" w:color="auto"/>
              <w:right w:val="single" w:sz="4" w:space="0" w:color="auto"/>
            </w:tcBorders>
            <w:noWrap/>
            <w:vAlign w:val="bottom"/>
            <w:hideMark/>
          </w:tcPr>
          <w:p w14:paraId="5D59B0C2"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Fully paid up capital instruments</w:t>
            </w:r>
          </w:p>
        </w:tc>
        <w:tc>
          <w:tcPr>
            <w:tcW w:w="1568" w:type="dxa"/>
            <w:tcBorders>
              <w:top w:val="nil"/>
              <w:left w:val="nil"/>
              <w:bottom w:val="single" w:sz="4" w:space="0" w:color="auto"/>
              <w:right w:val="single" w:sz="4" w:space="0" w:color="auto"/>
            </w:tcBorders>
            <w:noWrap/>
            <w:vAlign w:val="bottom"/>
            <w:hideMark/>
          </w:tcPr>
          <w:p w14:paraId="54DEF7D0" w14:textId="575DC465"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r w:rsidR="006855C9">
              <w:rPr>
                <w:rFonts w:eastAsia="Times New Roman" w:cstheme="minorHAnsi"/>
                <w:color w:val="000000"/>
                <w:sz w:val="20"/>
                <w:szCs w:val="20"/>
                <w:lang w:val="en-GB" w:eastAsia="en-GB"/>
              </w:rPr>
              <w:t>625</w:t>
            </w:r>
          </w:p>
        </w:tc>
        <w:tc>
          <w:tcPr>
            <w:tcW w:w="2059" w:type="dxa"/>
            <w:tcBorders>
              <w:top w:val="nil"/>
              <w:left w:val="nil"/>
              <w:bottom w:val="single" w:sz="4" w:space="0" w:color="auto"/>
              <w:right w:val="single" w:sz="4" w:space="0" w:color="auto"/>
            </w:tcBorders>
            <w:noWrap/>
            <w:vAlign w:val="bottom"/>
            <w:hideMark/>
          </w:tcPr>
          <w:p w14:paraId="08D5D1A4" w14:textId="79C89FBC" w:rsidR="005B198A" w:rsidRPr="00037DB5" w:rsidRDefault="005B198A" w:rsidP="008A35DB">
            <w:pPr>
              <w:jc w:val="both"/>
              <w:rPr>
                <w:rFonts w:eastAsia="Times New Roman" w:cstheme="minorHAnsi"/>
                <w:color w:val="000000"/>
                <w:sz w:val="20"/>
                <w:szCs w:val="20"/>
                <w:lang w:val="en-GB" w:eastAsia="en-GB"/>
              </w:rPr>
            </w:pPr>
            <w:r w:rsidRPr="00037DB5">
              <w:rPr>
                <w:rFonts w:eastAsia="Times New Roman" w:cstheme="minorHAnsi"/>
                <w:color w:val="000000"/>
                <w:sz w:val="20"/>
                <w:szCs w:val="20"/>
                <w:lang w:val="en-GB" w:eastAsia="en-GB"/>
              </w:rPr>
              <w:t> </w:t>
            </w:r>
            <w:r w:rsidR="00197F76">
              <w:rPr>
                <w:rFonts w:eastAsia="Times New Roman" w:cstheme="minorHAnsi"/>
                <w:color w:val="000000"/>
                <w:sz w:val="20"/>
                <w:szCs w:val="20"/>
                <w:lang w:val="en-GB" w:eastAsia="en-GB"/>
              </w:rPr>
              <w:t xml:space="preserve">Pg 17, Note </w:t>
            </w:r>
            <w:r w:rsidR="001626F4" w:rsidRPr="00037DB5">
              <w:rPr>
                <w:rFonts w:eastAsia="Times New Roman" w:cstheme="minorHAnsi"/>
                <w:color w:val="000000"/>
                <w:sz w:val="20"/>
                <w:szCs w:val="20"/>
                <w:lang w:val="en-GB" w:eastAsia="en-GB"/>
              </w:rPr>
              <w:t>1</w:t>
            </w:r>
            <w:r w:rsidR="00037DB5">
              <w:rPr>
                <w:rFonts w:eastAsia="Times New Roman" w:cstheme="minorHAnsi"/>
                <w:color w:val="000000"/>
                <w:sz w:val="20"/>
                <w:szCs w:val="20"/>
                <w:lang w:val="en-GB" w:eastAsia="en-GB"/>
              </w:rPr>
              <w:t>9</w:t>
            </w:r>
          </w:p>
        </w:tc>
      </w:tr>
      <w:tr w:rsidR="005B198A" w:rsidRPr="00B50967" w14:paraId="532E25D4"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37D0CB99"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lastRenderedPageBreak/>
              <w:t>5</w:t>
            </w:r>
          </w:p>
        </w:tc>
        <w:tc>
          <w:tcPr>
            <w:tcW w:w="5108" w:type="dxa"/>
            <w:tcBorders>
              <w:top w:val="nil"/>
              <w:left w:val="nil"/>
              <w:bottom w:val="single" w:sz="4" w:space="0" w:color="auto"/>
              <w:right w:val="single" w:sz="4" w:space="0" w:color="auto"/>
            </w:tcBorders>
            <w:noWrap/>
            <w:vAlign w:val="bottom"/>
            <w:hideMark/>
          </w:tcPr>
          <w:p w14:paraId="601F843F"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Share premium</w:t>
            </w:r>
          </w:p>
        </w:tc>
        <w:tc>
          <w:tcPr>
            <w:tcW w:w="1568" w:type="dxa"/>
            <w:tcBorders>
              <w:top w:val="nil"/>
              <w:left w:val="nil"/>
              <w:bottom w:val="single" w:sz="4" w:space="0" w:color="auto"/>
              <w:right w:val="single" w:sz="4" w:space="0" w:color="auto"/>
            </w:tcBorders>
            <w:noWrap/>
            <w:vAlign w:val="bottom"/>
            <w:hideMark/>
          </w:tcPr>
          <w:p w14:paraId="342152A8" w14:textId="647A8428"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r w:rsidR="009F5BBD">
              <w:rPr>
                <w:rFonts w:eastAsia="Times New Roman" w:cstheme="minorHAnsi"/>
                <w:color w:val="000000"/>
                <w:sz w:val="20"/>
                <w:szCs w:val="20"/>
                <w:lang w:val="en-GB" w:eastAsia="en-GB"/>
              </w:rPr>
              <w:t>10</w:t>
            </w:r>
            <w:r w:rsidR="000E6EF9">
              <w:rPr>
                <w:rFonts w:eastAsia="Times New Roman" w:cstheme="minorHAnsi"/>
                <w:color w:val="000000"/>
                <w:sz w:val="20"/>
                <w:szCs w:val="20"/>
                <w:lang w:val="en-GB" w:eastAsia="en-GB"/>
              </w:rPr>
              <w:t>,</w:t>
            </w:r>
            <w:r w:rsidR="009F5BBD">
              <w:rPr>
                <w:rFonts w:eastAsia="Times New Roman" w:cstheme="minorHAnsi"/>
                <w:color w:val="000000"/>
                <w:sz w:val="20"/>
                <w:szCs w:val="20"/>
                <w:lang w:val="en-GB" w:eastAsia="en-GB"/>
              </w:rPr>
              <w:t>656</w:t>
            </w:r>
          </w:p>
        </w:tc>
        <w:tc>
          <w:tcPr>
            <w:tcW w:w="2059" w:type="dxa"/>
            <w:tcBorders>
              <w:top w:val="nil"/>
              <w:left w:val="nil"/>
              <w:bottom w:val="single" w:sz="4" w:space="0" w:color="auto"/>
              <w:right w:val="single" w:sz="4" w:space="0" w:color="auto"/>
            </w:tcBorders>
            <w:noWrap/>
            <w:vAlign w:val="bottom"/>
            <w:hideMark/>
          </w:tcPr>
          <w:p w14:paraId="7D6CD4D7" w14:textId="2CEF6317" w:rsidR="005B198A" w:rsidRPr="00037DB5" w:rsidRDefault="00197F76" w:rsidP="008A35DB">
            <w:pPr>
              <w:jc w:val="both"/>
              <w:rPr>
                <w:rFonts w:eastAsia="Times New Roman" w:cstheme="minorHAnsi"/>
                <w:color w:val="000000"/>
                <w:sz w:val="20"/>
                <w:szCs w:val="20"/>
                <w:lang w:val="en-GB" w:eastAsia="en-GB"/>
              </w:rPr>
            </w:pPr>
            <w:r>
              <w:rPr>
                <w:rFonts w:eastAsia="Times New Roman" w:cstheme="minorHAnsi"/>
                <w:color w:val="000000"/>
                <w:sz w:val="20"/>
                <w:szCs w:val="20"/>
                <w:lang w:val="en-GB" w:eastAsia="en-GB"/>
              </w:rPr>
              <w:t>Pg 17</w:t>
            </w:r>
          </w:p>
        </w:tc>
      </w:tr>
      <w:tr w:rsidR="005B198A" w:rsidRPr="00B50967" w14:paraId="0EF03D95"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2C6E1B3F"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6</w:t>
            </w:r>
          </w:p>
        </w:tc>
        <w:tc>
          <w:tcPr>
            <w:tcW w:w="5108" w:type="dxa"/>
            <w:tcBorders>
              <w:top w:val="nil"/>
              <w:left w:val="nil"/>
              <w:bottom w:val="single" w:sz="4" w:space="0" w:color="auto"/>
              <w:right w:val="single" w:sz="4" w:space="0" w:color="auto"/>
            </w:tcBorders>
            <w:noWrap/>
            <w:vAlign w:val="bottom"/>
            <w:hideMark/>
          </w:tcPr>
          <w:p w14:paraId="17180293"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Retained earnings</w:t>
            </w:r>
          </w:p>
        </w:tc>
        <w:tc>
          <w:tcPr>
            <w:tcW w:w="1568" w:type="dxa"/>
            <w:tcBorders>
              <w:top w:val="nil"/>
              <w:left w:val="nil"/>
              <w:bottom w:val="single" w:sz="4" w:space="0" w:color="auto"/>
              <w:right w:val="single" w:sz="4" w:space="0" w:color="auto"/>
            </w:tcBorders>
            <w:noWrap/>
            <w:vAlign w:val="bottom"/>
            <w:hideMark/>
          </w:tcPr>
          <w:p w14:paraId="0F278E35" w14:textId="124437B1"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r w:rsidR="009F5BBD">
              <w:rPr>
                <w:rFonts w:eastAsia="Times New Roman" w:cstheme="minorHAnsi"/>
                <w:color w:val="000000"/>
                <w:sz w:val="20"/>
                <w:szCs w:val="20"/>
                <w:lang w:val="en-GB" w:eastAsia="en-GB"/>
              </w:rPr>
              <w:t>3</w:t>
            </w:r>
            <w:r w:rsidR="000E6EF9">
              <w:rPr>
                <w:rFonts w:eastAsia="Times New Roman" w:cstheme="minorHAnsi"/>
                <w:color w:val="000000"/>
                <w:sz w:val="20"/>
                <w:szCs w:val="20"/>
                <w:lang w:val="en-GB" w:eastAsia="en-GB"/>
              </w:rPr>
              <w:t>,</w:t>
            </w:r>
            <w:r w:rsidR="009F5BBD">
              <w:rPr>
                <w:rFonts w:eastAsia="Times New Roman" w:cstheme="minorHAnsi"/>
                <w:color w:val="000000"/>
                <w:sz w:val="20"/>
                <w:szCs w:val="20"/>
                <w:lang w:val="en-GB" w:eastAsia="en-GB"/>
              </w:rPr>
              <w:t>401</w:t>
            </w:r>
          </w:p>
        </w:tc>
        <w:tc>
          <w:tcPr>
            <w:tcW w:w="2059" w:type="dxa"/>
            <w:tcBorders>
              <w:top w:val="nil"/>
              <w:left w:val="nil"/>
              <w:bottom w:val="single" w:sz="4" w:space="0" w:color="auto"/>
              <w:right w:val="single" w:sz="4" w:space="0" w:color="auto"/>
            </w:tcBorders>
            <w:noWrap/>
            <w:vAlign w:val="bottom"/>
            <w:hideMark/>
          </w:tcPr>
          <w:p w14:paraId="7B8741B2" w14:textId="391FC585" w:rsidR="005B198A" w:rsidRPr="00037DB5" w:rsidRDefault="00197F76" w:rsidP="008A35DB">
            <w:pPr>
              <w:jc w:val="both"/>
              <w:rPr>
                <w:rFonts w:eastAsia="Times New Roman" w:cstheme="minorHAnsi"/>
                <w:color w:val="000000"/>
                <w:sz w:val="20"/>
                <w:szCs w:val="20"/>
                <w:lang w:val="en-GB" w:eastAsia="en-GB"/>
              </w:rPr>
            </w:pPr>
            <w:r>
              <w:rPr>
                <w:rFonts w:eastAsia="Times New Roman" w:cstheme="minorHAnsi"/>
                <w:color w:val="000000"/>
                <w:sz w:val="20"/>
                <w:szCs w:val="20"/>
                <w:lang w:val="en-GB" w:eastAsia="en-GB"/>
              </w:rPr>
              <w:t>Pg 17</w:t>
            </w:r>
          </w:p>
        </w:tc>
      </w:tr>
      <w:tr w:rsidR="005B198A" w:rsidRPr="00B50967" w14:paraId="60115A3D"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3177309B"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7</w:t>
            </w:r>
          </w:p>
        </w:tc>
        <w:tc>
          <w:tcPr>
            <w:tcW w:w="5108" w:type="dxa"/>
            <w:tcBorders>
              <w:top w:val="nil"/>
              <w:left w:val="nil"/>
              <w:bottom w:val="single" w:sz="4" w:space="0" w:color="auto"/>
              <w:right w:val="single" w:sz="4" w:space="0" w:color="auto"/>
            </w:tcBorders>
            <w:noWrap/>
            <w:vAlign w:val="bottom"/>
            <w:hideMark/>
          </w:tcPr>
          <w:p w14:paraId="44907BFB"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Accumulated other comprehensive income</w:t>
            </w:r>
          </w:p>
        </w:tc>
        <w:tc>
          <w:tcPr>
            <w:tcW w:w="1568" w:type="dxa"/>
            <w:tcBorders>
              <w:top w:val="nil"/>
              <w:left w:val="nil"/>
              <w:bottom w:val="single" w:sz="4" w:space="0" w:color="auto"/>
              <w:right w:val="single" w:sz="4" w:space="0" w:color="auto"/>
            </w:tcBorders>
            <w:noWrap/>
            <w:vAlign w:val="bottom"/>
            <w:hideMark/>
          </w:tcPr>
          <w:p w14:paraId="75F12592"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3F3B46A1"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2816185C"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14BFC881"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8</w:t>
            </w:r>
          </w:p>
        </w:tc>
        <w:tc>
          <w:tcPr>
            <w:tcW w:w="5108" w:type="dxa"/>
            <w:tcBorders>
              <w:top w:val="nil"/>
              <w:left w:val="nil"/>
              <w:bottom w:val="single" w:sz="4" w:space="0" w:color="auto"/>
              <w:right w:val="single" w:sz="4" w:space="0" w:color="auto"/>
            </w:tcBorders>
            <w:noWrap/>
            <w:vAlign w:val="bottom"/>
            <w:hideMark/>
          </w:tcPr>
          <w:p w14:paraId="1C7BB763"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Other reserves</w:t>
            </w:r>
          </w:p>
        </w:tc>
        <w:tc>
          <w:tcPr>
            <w:tcW w:w="1568" w:type="dxa"/>
            <w:tcBorders>
              <w:top w:val="nil"/>
              <w:left w:val="nil"/>
              <w:bottom w:val="single" w:sz="4" w:space="0" w:color="auto"/>
              <w:right w:val="single" w:sz="4" w:space="0" w:color="auto"/>
            </w:tcBorders>
            <w:noWrap/>
            <w:vAlign w:val="bottom"/>
            <w:hideMark/>
          </w:tcPr>
          <w:p w14:paraId="5136FF1F"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45E61DE8"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7DF97422"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72B15B68"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9</w:t>
            </w:r>
          </w:p>
        </w:tc>
        <w:tc>
          <w:tcPr>
            <w:tcW w:w="5108" w:type="dxa"/>
            <w:tcBorders>
              <w:top w:val="nil"/>
              <w:left w:val="nil"/>
              <w:bottom w:val="single" w:sz="4" w:space="0" w:color="auto"/>
              <w:right w:val="single" w:sz="4" w:space="0" w:color="auto"/>
            </w:tcBorders>
            <w:noWrap/>
            <w:vAlign w:val="bottom"/>
            <w:hideMark/>
          </w:tcPr>
          <w:p w14:paraId="190CAAC1"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Accumulated other comprehensive income</w:t>
            </w:r>
          </w:p>
        </w:tc>
        <w:tc>
          <w:tcPr>
            <w:tcW w:w="1568" w:type="dxa"/>
            <w:tcBorders>
              <w:top w:val="nil"/>
              <w:left w:val="nil"/>
              <w:bottom w:val="single" w:sz="4" w:space="0" w:color="auto"/>
              <w:right w:val="single" w:sz="4" w:space="0" w:color="auto"/>
            </w:tcBorders>
            <w:noWrap/>
            <w:vAlign w:val="bottom"/>
            <w:hideMark/>
          </w:tcPr>
          <w:p w14:paraId="15FF7F43"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05C1FC51"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0DC0456B"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65E92BD8"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10</w:t>
            </w:r>
          </w:p>
        </w:tc>
        <w:tc>
          <w:tcPr>
            <w:tcW w:w="5108" w:type="dxa"/>
            <w:tcBorders>
              <w:top w:val="nil"/>
              <w:left w:val="nil"/>
              <w:bottom w:val="single" w:sz="4" w:space="0" w:color="auto"/>
              <w:right w:val="single" w:sz="4" w:space="0" w:color="auto"/>
            </w:tcBorders>
            <w:noWrap/>
            <w:vAlign w:val="bottom"/>
            <w:hideMark/>
          </w:tcPr>
          <w:p w14:paraId="3D43E219"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Accumulated other comprehensive income</w:t>
            </w:r>
          </w:p>
        </w:tc>
        <w:tc>
          <w:tcPr>
            <w:tcW w:w="1568" w:type="dxa"/>
            <w:tcBorders>
              <w:top w:val="nil"/>
              <w:left w:val="nil"/>
              <w:bottom w:val="single" w:sz="4" w:space="0" w:color="auto"/>
              <w:right w:val="single" w:sz="4" w:space="0" w:color="auto"/>
            </w:tcBorders>
            <w:noWrap/>
            <w:vAlign w:val="bottom"/>
            <w:hideMark/>
          </w:tcPr>
          <w:p w14:paraId="7045B0BF"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3C9A7D28"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1B841AA5"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2433E434"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11</w:t>
            </w:r>
          </w:p>
        </w:tc>
        <w:tc>
          <w:tcPr>
            <w:tcW w:w="5108" w:type="dxa"/>
            <w:tcBorders>
              <w:top w:val="nil"/>
              <w:left w:val="nil"/>
              <w:bottom w:val="single" w:sz="4" w:space="0" w:color="auto"/>
              <w:right w:val="single" w:sz="4" w:space="0" w:color="auto"/>
            </w:tcBorders>
            <w:noWrap/>
            <w:vAlign w:val="bottom"/>
            <w:hideMark/>
          </w:tcPr>
          <w:p w14:paraId="75C6598E" w14:textId="4CD0B17F"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w:t>
            </w:r>
            <w:r w:rsidR="00151C35">
              <w:rPr>
                <w:rFonts w:eastAsia="Times New Roman" w:cstheme="minorHAnsi"/>
                <w:color w:val="000000"/>
                <w:sz w:val="20"/>
                <w:szCs w:val="20"/>
                <w:lang w:val="en-GB" w:eastAsia="en-GB"/>
              </w:rPr>
              <w:t xml:space="preserve"> </w:t>
            </w:r>
            <w:r w:rsidRPr="00B50967">
              <w:rPr>
                <w:rFonts w:eastAsia="Times New Roman" w:cstheme="minorHAnsi"/>
                <w:color w:val="000000"/>
                <w:sz w:val="20"/>
                <w:szCs w:val="20"/>
                <w:lang w:val="en-GB" w:eastAsia="en-GB"/>
              </w:rPr>
              <w:t>TOTAL DEDUCTIONS FROM COMMON EQUITY TIER 1</w:t>
            </w:r>
          </w:p>
        </w:tc>
        <w:tc>
          <w:tcPr>
            <w:tcW w:w="1568" w:type="dxa"/>
            <w:tcBorders>
              <w:top w:val="nil"/>
              <w:left w:val="nil"/>
              <w:bottom w:val="single" w:sz="4" w:space="0" w:color="auto"/>
              <w:right w:val="single" w:sz="4" w:space="0" w:color="auto"/>
            </w:tcBorders>
            <w:noWrap/>
            <w:vAlign w:val="bottom"/>
            <w:hideMark/>
          </w:tcPr>
          <w:p w14:paraId="5566A567" w14:textId="5E194CD4" w:rsidR="005B198A" w:rsidRPr="00B50967" w:rsidRDefault="008E28B7" w:rsidP="008A35DB">
            <w:pPr>
              <w:jc w:val="both"/>
              <w:rPr>
                <w:rFonts w:eastAsia="Times New Roman" w:cstheme="minorHAnsi"/>
                <w:color w:val="000000"/>
                <w:sz w:val="20"/>
                <w:szCs w:val="20"/>
                <w:lang w:val="en-GB" w:eastAsia="en-GB"/>
              </w:rPr>
            </w:pPr>
            <w:r>
              <w:rPr>
                <w:rFonts w:eastAsia="Times New Roman" w:cstheme="minorHAnsi"/>
                <w:color w:val="000000"/>
                <w:sz w:val="20"/>
                <w:szCs w:val="20"/>
                <w:lang w:val="en-GB" w:eastAsia="en-GB"/>
              </w:rPr>
              <w:t>33</w:t>
            </w:r>
          </w:p>
        </w:tc>
        <w:tc>
          <w:tcPr>
            <w:tcW w:w="2059" w:type="dxa"/>
            <w:tcBorders>
              <w:top w:val="nil"/>
              <w:left w:val="nil"/>
              <w:bottom w:val="single" w:sz="4" w:space="0" w:color="auto"/>
              <w:right w:val="single" w:sz="4" w:space="0" w:color="auto"/>
            </w:tcBorders>
            <w:noWrap/>
            <w:vAlign w:val="bottom"/>
            <w:hideMark/>
          </w:tcPr>
          <w:p w14:paraId="5DE45455" w14:textId="416466F2"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r w:rsidR="00197F76">
              <w:rPr>
                <w:rFonts w:eastAsia="Times New Roman" w:cstheme="minorHAnsi"/>
                <w:color w:val="000000"/>
                <w:sz w:val="20"/>
                <w:szCs w:val="20"/>
                <w:lang w:val="en-GB" w:eastAsia="en-GB"/>
              </w:rPr>
              <w:t xml:space="preserve">Pg </w:t>
            </w:r>
            <w:r w:rsidR="00037DB5">
              <w:rPr>
                <w:rFonts w:eastAsia="Times New Roman" w:cstheme="minorHAnsi"/>
                <w:color w:val="000000"/>
                <w:sz w:val="20"/>
                <w:szCs w:val="20"/>
                <w:lang w:val="en-GB" w:eastAsia="en-GB"/>
              </w:rPr>
              <w:t>17</w:t>
            </w:r>
            <w:r w:rsidR="00197F76">
              <w:rPr>
                <w:rFonts w:eastAsia="Times New Roman" w:cstheme="minorHAnsi"/>
                <w:color w:val="000000"/>
                <w:sz w:val="20"/>
                <w:szCs w:val="20"/>
                <w:lang w:val="en-GB" w:eastAsia="en-GB"/>
              </w:rPr>
              <w:t>, Note 14</w:t>
            </w:r>
          </w:p>
        </w:tc>
      </w:tr>
      <w:tr w:rsidR="005B198A" w:rsidRPr="00B50967" w14:paraId="72F18E70"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35FEF6A5"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19</w:t>
            </w:r>
          </w:p>
        </w:tc>
        <w:tc>
          <w:tcPr>
            <w:tcW w:w="5108" w:type="dxa"/>
            <w:tcBorders>
              <w:top w:val="nil"/>
              <w:left w:val="nil"/>
              <w:bottom w:val="single" w:sz="4" w:space="0" w:color="auto"/>
              <w:right w:val="single" w:sz="4" w:space="0" w:color="auto"/>
            </w:tcBorders>
            <w:noWrap/>
            <w:vAlign w:val="bottom"/>
            <w:hideMark/>
          </w:tcPr>
          <w:p w14:paraId="1148F575"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CET1: Other capital elements, deductions and adjustments</w:t>
            </w:r>
          </w:p>
        </w:tc>
        <w:tc>
          <w:tcPr>
            <w:tcW w:w="1568" w:type="dxa"/>
            <w:tcBorders>
              <w:top w:val="nil"/>
              <w:left w:val="nil"/>
              <w:bottom w:val="single" w:sz="4" w:space="0" w:color="auto"/>
              <w:right w:val="single" w:sz="4" w:space="0" w:color="auto"/>
            </w:tcBorders>
            <w:noWrap/>
            <w:vAlign w:val="bottom"/>
            <w:hideMark/>
          </w:tcPr>
          <w:p w14:paraId="36FD30FE"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2A4D4F8D"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493B8F4D"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37F26410" w14:textId="1FA1418A" w:rsidR="005B198A" w:rsidRPr="00151C35" w:rsidRDefault="005B198A" w:rsidP="008A35DB">
            <w:pPr>
              <w:jc w:val="both"/>
              <w:rPr>
                <w:rFonts w:eastAsia="Times New Roman" w:cstheme="minorHAnsi"/>
                <w:b/>
                <w:bCs/>
                <w:color w:val="000000"/>
                <w:sz w:val="20"/>
                <w:szCs w:val="20"/>
                <w:lang w:val="en-GB" w:eastAsia="en-GB"/>
              </w:rPr>
            </w:pPr>
            <w:r w:rsidRPr="00151C35">
              <w:rPr>
                <w:rFonts w:eastAsia="Times New Roman" w:cstheme="minorHAnsi"/>
                <w:b/>
                <w:bCs/>
                <w:color w:val="000000"/>
                <w:sz w:val="20"/>
                <w:szCs w:val="20"/>
                <w:lang w:val="en-GB" w:eastAsia="en-GB"/>
              </w:rPr>
              <w:t>20</w:t>
            </w:r>
          </w:p>
        </w:tc>
        <w:tc>
          <w:tcPr>
            <w:tcW w:w="5108" w:type="dxa"/>
            <w:tcBorders>
              <w:top w:val="nil"/>
              <w:left w:val="nil"/>
              <w:bottom w:val="single" w:sz="4" w:space="0" w:color="auto"/>
              <w:right w:val="single" w:sz="4" w:space="0" w:color="auto"/>
            </w:tcBorders>
            <w:noWrap/>
            <w:vAlign w:val="bottom"/>
            <w:hideMark/>
          </w:tcPr>
          <w:p w14:paraId="68F57993" w14:textId="77777777" w:rsidR="005B198A" w:rsidRPr="00B50967" w:rsidRDefault="005B198A" w:rsidP="008A35DB">
            <w:pPr>
              <w:jc w:val="both"/>
              <w:rPr>
                <w:rFonts w:eastAsia="Times New Roman" w:cstheme="minorHAnsi"/>
                <w:b/>
                <w:bCs/>
                <w:color w:val="000000"/>
                <w:sz w:val="20"/>
                <w:szCs w:val="20"/>
                <w:lang w:val="en-GB" w:eastAsia="en-GB"/>
              </w:rPr>
            </w:pPr>
            <w:r w:rsidRPr="00B50967">
              <w:rPr>
                <w:rFonts w:eastAsia="Times New Roman" w:cstheme="minorHAnsi"/>
                <w:b/>
                <w:bCs/>
                <w:color w:val="000000"/>
                <w:sz w:val="20"/>
                <w:szCs w:val="20"/>
                <w:lang w:val="en-GB" w:eastAsia="en-GB"/>
              </w:rPr>
              <w:t>ADDITIONAL TIER 1 CAPITAL</w:t>
            </w:r>
          </w:p>
        </w:tc>
        <w:tc>
          <w:tcPr>
            <w:tcW w:w="1568" w:type="dxa"/>
            <w:tcBorders>
              <w:top w:val="nil"/>
              <w:left w:val="nil"/>
              <w:bottom w:val="single" w:sz="4" w:space="0" w:color="auto"/>
              <w:right w:val="single" w:sz="4" w:space="0" w:color="auto"/>
            </w:tcBorders>
            <w:noWrap/>
            <w:vAlign w:val="bottom"/>
            <w:hideMark/>
          </w:tcPr>
          <w:p w14:paraId="2C45EC59" w14:textId="16280B90" w:rsidR="005B198A" w:rsidRPr="00B50967" w:rsidRDefault="005B198A" w:rsidP="008A35DB">
            <w:pPr>
              <w:jc w:val="both"/>
              <w:rPr>
                <w:rFonts w:eastAsia="Times New Roman" w:cstheme="minorHAnsi"/>
                <w:b/>
                <w:bCs/>
                <w:color w:val="000000"/>
                <w:sz w:val="20"/>
                <w:szCs w:val="20"/>
                <w:lang w:val="en-GB" w:eastAsia="en-GB"/>
              </w:rPr>
            </w:pPr>
            <w:r w:rsidRPr="00B50967">
              <w:rPr>
                <w:rFonts w:eastAsia="Times New Roman" w:cstheme="minorHAnsi"/>
                <w:b/>
                <w:bCs/>
                <w:color w:val="000000"/>
                <w:sz w:val="20"/>
                <w:szCs w:val="20"/>
                <w:lang w:val="en-GB" w:eastAsia="en-GB"/>
              </w:rPr>
              <w:t> </w:t>
            </w:r>
            <w:r w:rsidR="00CB361F">
              <w:rPr>
                <w:rFonts w:eastAsia="Times New Roman" w:cstheme="minorHAnsi"/>
                <w:b/>
                <w:bCs/>
                <w:color w:val="000000"/>
                <w:sz w:val="20"/>
                <w:szCs w:val="20"/>
                <w:lang w:val="en-GB" w:eastAsia="en-GB"/>
              </w:rPr>
              <w:t>0</w:t>
            </w:r>
          </w:p>
        </w:tc>
        <w:tc>
          <w:tcPr>
            <w:tcW w:w="2059" w:type="dxa"/>
            <w:tcBorders>
              <w:top w:val="nil"/>
              <w:left w:val="nil"/>
              <w:bottom w:val="single" w:sz="4" w:space="0" w:color="auto"/>
              <w:right w:val="single" w:sz="4" w:space="0" w:color="auto"/>
            </w:tcBorders>
            <w:noWrap/>
            <w:vAlign w:val="bottom"/>
            <w:hideMark/>
          </w:tcPr>
          <w:p w14:paraId="1188D40C"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14D826CF"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0CF546A1"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21</w:t>
            </w:r>
          </w:p>
        </w:tc>
        <w:tc>
          <w:tcPr>
            <w:tcW w:w="5108" w:type="dxa"/>
            <w:tcBorders>
              <w:top w:val="nil"/>
              <w:left w:val="nil"/>
              <w:bottom w:val="single" w:sz="4" w:space="0" w:color="auto"/>
              <w:right w:val="single" w:sz="4" w:space="0" w:color="auto"/>
            </w:tcBorders>
            <w:noWrap/>
            <w:vAlign w:val="bottom"/>
            <w:hideMark/>
          </w:tcPr>
          <w:p w14:paraId="38A3572B"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Fully paid up, directly issued capital instruments</w:t>
            </w:r>
          </w:p>
        </w:tc>
        <w:tc>
          <w:tcPr>
            <w:tcW w:w="1568" w:type="dxa"/>
            <w:tcBorders>
              <w:top w:val="nil"/>
              <w:left w:val="nil"/>
              <w:bottom w:val="single" w:sz="4" w:space="0" w:color="auto"/>
              <w:right w:val="single" w:sz="4" w:space="0" w:color="auto"/>
            </w:tcBorders>
            <w:noWrap/>
            <w:vAlign w:val="bottom"/>
            <w:hideMark/>
          </w:tcPr>
          <w:p w14:paraId="6D53EDCD"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47D6C1DD"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12F0B18E"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43559FC7"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22</w:t>
            </w:r>
          </w:p>
        </w:tc>
        <w:tc>
          <w:tcPr>
            <w:tcW w:w="5108" w:type="dxa"/>
            <w:tcBorders>
              <w:top w:val="nil"/>
              <w:left w:val="nil"/>
              <w:bottom w:val="single" w:sz="4" w:space="0" w:color="auto"/>
              <w:right w:val="single" w:sz="4" w:space="0" w:color="auto"/>
            </w:tcBorders>
            <w:noWrap/>
            <w:vAlign w:val="bottom"/>
            <w:hideMark/>
          </w:tcPr>
          <w:p w14:paraId="46DF6132"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Share premium</w:t>
            </w:r>
          </w:p>
        </w:tc>
        <w:tc>
          <w:tcPr>
            <w:tcW w:w="1568" w:type="dxa"/>
            <w:tcBorders>
              <w:top w:val="nil"/>
              <w:left w:val="nil"/>
              <w:bottom w:val="single" w:sz="4" w:space="0" w:color="auto"/>
              <w:right w:val="single" w:sz="4" w:space="0" w:color="auto"/>
            </w:tcBorders>
            <w:noWrap/>
            <w:vAlign w:val="bottom"/>
            <w:hideMark/>
          </w:tcPr>
          <w:p w14:paraId="02A09515"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6583F8E7"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0689A8B2"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36D853D4"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23</w:t>
            </w:r>
          </w:p>
        </w:tc>
        <w:tc>
          <w:tcPr>
            <w:tcW w:w="5108" w:type="dxa"/>
            <w:tcBorders>
              <w:top w:val="nil"/>
              <w:left w:val="nil"/>
              <w:bottom w:val="single" w:sz="4" w:space="0" w:color="auto"/>
              <w:right w:val="single" w:sz="4" w:space="0" w:color="auto"/>
            </w:tcBorders>
            <w:noWrap/>
            <w:vAlign w:val="bottom"/>
            <w:hideMark/>
          </w:tcPr>
          <w:p w14:paraId="2414AB2F"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TOTAL DEDUCTIONS FROM ADDITIONAL TIER 1</w:t>
            </w:r>
          </w:p>
        </w:tc>
        <w:tc>
          <w:tcPr>
            <w:tcW w:w="1568" w:type="dxa"/>
            <w:tcBorders>
              <w:top w:val="nil"/>
              <w:left w:val="nil"/>
              <w:bottom w:val="single" w:sz="4" w:space="0" w:color="auto"/>
              <w:right w:val="single" w:sz="4" w:space="0" w:color="auto"/>
            </w:tcBorders>
            <w:noWrap/>
            <w:vAlign w:val="bottom"/>
            <w:hideMark/>
          </w:tcPr>
          <w:p w14:paraId="47F7E245"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0BB053C0"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13024B00" w14:textId="77777777" w:rsidTr="008A35DB">
        <w:trPr>
          <w:trHeight w:val="604"/>
        </w:trPr>
        <w:tc>
          <w:tcPr>
            <w:tcW w:w="507" w:type="dxa"/>
            <w:tcBorders>
              <w:top w:val="nil"/>
              <w:left w:val="single" w:sz="4" w:space="0" w:color="auto"/>
              <w:bottom w:val="single" w:sz="4" w:space="0" w:color="auto"/>
              <w:right w:val="single" w:sz="4" w:space="0" w:color="auto"/>
            </w:tcBorders>
            <w:noWrap/>
            <w:vAlign w:val="bottom"/>
            <w:hideMark/>
          </w:tcPr>
          <w:p w14:paraId="6A197420"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24</w:t>
            </w:r>
          </w:p>
        </w:tc>
        <w:tc>
          <w:tcPr>
            <w:tcW w:w="5108" w:type="dxa"/>
            <w:tcBorders>
              <w:top w:val="nil"/>
              <w:left w:val="nil"/>
              <w:bottom w:val="single" w:sz="4" w:space="0" w:color="auto"/>
              <w:right w:val="single" w:sz="4" w:space="0" w:color="auto"/>
            </w:tcBorders>
            <w:vAlign w:val="bottom"/>
            <w:hideMark/>
          </w:tcPr>
          <w:p w14:paraId="6D88EA0E"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Additional Tier 1: Other capital elements, deductions and adjustments</w:t>
            </w:r>
          </w:p>
        </w:tc>
        <w:tc>
          <w:tcPr>
            <w:tcW w:w="1568" w:type="dxa"/>
            <w:tcBorders>
              <w:top w:val="nil"/>
              <w:left w:val="nil"/>
              <w:bottom w:val="single" w:sz="4" w:space="0" w:color="auto"/>
              <w:right w:val="single" w:sz="4" w:space="0" w:color="auto"/>
            </w:tcBorders>
            <w:noWrap/>
            <w:vAlign w:val="bottom"/>
            <w:hideMark/>
          </w:tcPr>
          <w:p w14:paraId="388813A5"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576684D2"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0F5C1A7A"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5A040941" w14:textId="77777777" w:rsidR="005B198A" w:rsidRPr="00151C35" w:rsidRDefault="005B198A" w:rsidP="008A35DB">
            <w:pPr>
              <w:jc w:val="both"/>
              <w:rPr>
                <w:rFonts w:eastAsia="Times New Roman" w:cstheme="minorHAnsi"/>
                <w:b/>
                <w:bCs/>
                <w:color w:val="000000"/>
                <w:sz w:val="20"/>
                <w:szCs w:val="20"/>
                <w:lang w:val="en-GB" w:eastAsia="en-GB"/>
              </w:rPr>
            </w:pPr>
            <w:r w:rsidRPr="00151C35">
              <w:rPr>
                <w:rFonts w:eastAsia="Times New Roman" w:cstheme="minorHAnsi"/>
                <w:b/>
                <w:bCs/>
                <w:color w:val="000000"/>
                <w:sz w:val="20"/>
                <w:szCs w:val="20"/>
                <w:lang w:val="en-GB" w:eastAsia="en-GB"/>
              </w:rPr>
              <w:t>25</w:t>
            </w:r>
          </w:p>
        </w:tc>
        <w:tc>
          <w:tcPr>
            <w:tcW w:w="5108" w:type="dxa"/>
            <w:tcBorders>
              <w:top w:val="nil"/>
              <w:left w:val="nil"/>
              <w:bottom w:val="single" w:sz="4" w:space="0" w:color="auto"/>
              <w:right w:val="single" w:sz="4" w:space="0" w:color="auto"/>
            </w:tcBorders>
            <w:noWrap/>
            <w:vAlign w:val="bottom"/>
            <w:hideMark/>
          </w:tcPr>
          <w:p w14:paraId="67E3DCAD" w14:textId="77777777" w:rsidR="005B198A" w:rsidRPr="00B50967" w:rsidRDefault="005B198A" w:rsidP="008A35DB">
            <w:pPr>
              <w:jc w:val="both"/>
              <w:rPr>
                <w:rFonts w:eastAsia="Times New Roman" w:cstheme="minorHAnsi"/>
                <w:b/>
                <w:bCs/>
                <w:color w:val="000000"/>
                <w:sz w:val="20"/>
                <w:szCs w:val="20"/>
                <w:lang w:val="en-GB" w:eastAsia="en-GB"/>
              </w:rPr>
            </w:pPr>
            <w:r w:rsidRPr="00B50967">
              <w:rPr>
                <w:rFonts w:eastAsia="Times New Roman" w:cstheme="minorHAnsi"/>
                <w:b/>
                <w:bCs/>
                <w:color w:val="000000"/>
                <w:sz w:val="20"/>
                <w:szCs w:val="20"/>
                <w:lang w:val="en-GB" w:eastAsia="en-GB"/>
              </w:rPr>
              <w:t>TIER 2 CAPITAL</w:t>
            </w:r>
          </w:p>
        </w:tc>
        <w:tc>
          <w:tcPr>
            <w:tcW w:w="1568" w:type="dxa"/>
            <w:tcBorders>
              <w:top w:val="nil"/>
              <w:left w:val="nil"/>
              <w:bottom w:val="single" w:sz="4" w:space="0" w:color="auto"/>
              <w:right w:val="single" w:sz="4" w:space="0" w:color="auto"/>
            </w:tcBorders>
            <w:noWrap/>
            <w:vAlign w:val="bottom"/>
            <w:hideMark/>
          </w:tcPr>
          <w:p w14:paraId="2B95BF6D" w14:textId="577E37C0" w:rsidR="005B198A" w:rsidRPr="00B50967" w:rsidRDefault="005B198A" w:rsidP="008A35DB">
            <w:pPr>
              <w:jc w:val="both"/>
              <w:rPr>
                <w:rFonts w:eastAsia="Times New Roman" w:cstheme="minorHAnsi"/>
                <w:b/>
                <w:bCs/>
                <w:color w:val="000000"/>
                <w:sz w:val="20"/>
                <w:szCs w:val="20"/>
                <w:lang w:val="en-GB" w:eastAsia="en-GB"/>
              </w:rPr>
            </w:pPr>
            <w:r w:rsidRPr="00B50967">
              <w:rPr>
                <w:rFonts w:eastAsia="Times New Roman" w:cstheme="minorHAnsi"/>
                <w:b/>
                <w:bCs/>
                <w:color w:val="000000"/>
                <w:sz w:val="20"/>
                <w:szCs w:val="20"/>
                <w:lang w:val="en-GB" w:eastAsia="en-GB"/>
              </w:rPr>
              <w:t> </w:t>
            </w:r>
            <w:r w:rsidR="00CB361F">
              <w:rPr>
                <w:rFonts w:eastAsia="Times New Roman" w:cstheme="minorHAnsi"/>
                <w:b/>
                <w:bCs/>
                <w:color w:val="000000"/>
                <w:sz w:val="20"/>
                <w:szCs w:val="20"/>
                <w:lang w:val="en-GB" w:eastAsia="en-GB"/>
              </w:rPr>
              <w:t>0</w:t>
            </w:r>
          </w:p>
        </w:tc>
        <w:tc>
          <w:tcPr>
            <w:tcW w:w="2059" w:type="dxa"/>
            <w:tcBorders>
              <w:top w:val="nil"/>
              <w:left w:val="nil"/>
              <w:bottom w:val="single" w:sz="4" w:space="0" w:color="auto"/>
              <w:right w:val="single" w:sz="4" w:space="0" w:color="auto"/>
            </w:tcBorders>
            <w:noWrap/>
            <w:vAlign w:val="bottom"/>
            <w:hideMark/>
          </w:tcPr>
          <w:p w14:paraId="2ADD85A0"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7FC4FAC4"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5B707B82"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26</w:t>
            </w:r>
          </w:p>
        </w:tc>
        <w:tc>
          <w:tcPr>
            <w:tcW w:w="5108" w:type="dxa"/>
            <w:tcBorders>
              <w:top w:val="nil"/>
              <w:left w:val="nil"/>
              <w:bottom w:val="single" w:sz="4" w:space="0" w:color="auto"/>
              <w:right w:val="single" w:sz="4" w:space="0" w:color="auto"/>
            </w:tcBorders>
            <w:noWrap/>
            <w:vAlign w:val="bottom"/>
            <w:hideMark/>
          </w:tcPr>
          <w:p w14:paraId="053F051E"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Fully paid up, directly issued capital instruments</w:t>
            </w:r>
          </w:p>
        </w:tc>
        <w:tc>
          <w:tcPr>
            <w:tcW w:w="1568" w:type="dxa"/>
            <w:tcBorders>
              <w:top w:val="nil"/>
              <w:left w:val="nil"/>
              <w:bottom w:val="single" w:sz="4" w:space="0" w:color="auto"/>
              <w:right w:val="single" w:sz="4" w:space="0" w:color="auto"/>
            </w:tcBorders>
            <w:noWrap/>
            <w:vAlign w:val="bottom"/>
            <w:hideMark/>
          </w:tcPr>
          <w:p w14:paraId="5DB41009"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5FD815B0"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37648C7D"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42D53EBE"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27</w:t>
            </w:r>
          </w:p>
        </w:tc>
        <w:tc>
          <w:tcPr>
            <w:tcW w:w="5108" w:type="dxa"/>
            <w:tcBorders>
              <w:top w:val="nil"/>
              <w:left w:val="nil"/>
              <w:bottom w:val="single" w:sz="4" w:space="0" w:color="auto"/>
              <w:right w:val="single" w:sz="4" w:space="0" w:color="auto"/>
            </w:tcBorders>
            <w:noWrap/>
            <w:vAlign w:val="bottom"/>
            <w:hideMark/>
          </w:tcPr>
          <w:p w14:paraId="09D4DD83"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Share premium</w:t>
            </w:r>
          </w:p>
        </w:tc>
        <w:tc>
          <w:tcPr>
            <w:tcW w:w="1568" w:type="dxa"/>
            <w:tcBorders>
              <w:top w:val="nil"/>
              <w:left w:val="nil"/>
              <w:bottom w:val="single" w:sz="4" w:space="0" w:color="auto"/>
              <w:right w:val="single" w:sz="4" w:space="0" w:color="auto"/>
            </w:tcBorders>
            <w:noWrap/>
            <w:vAlign w:val="bottom"/>
            <w:hideMark/>
          </w:tcPr>
          <w:p w14:paraId="46429FF0"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04FEA09E"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423646E1"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276E6F01"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28</w:t>
            </w:r>
          </w:p>
        </w:tc>
        <w:tc>
          <w:tcPr>
            <w:tcW w:w="5108" w:type="dxa"/>
            <w:tcBorders>
              <w:top w:val="nil"/>
              <w:left w:val="nil"/>
              <w:bottom w:val="single" w:sz="4" w:space="0" w:color="auto"/>
              <w:right w:val="single" w:sz="4" w:space="0" w:color="auto"/>
            </w:tcBorders>
            <w:noWrap/>
            <w:vAlign w:val="bottom"/>
            <w:hideMark/>
          </w:tcPr>
          <w:p w14:paraId="52A539CD"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TOTAL DEDUCTIONS FROM TIER 2</w:t>
            </w:r>
          </w:p>
        </w:tc>
        <w:tc>
          <w:tcPr>
            <w:tcW w:w="1568" w:type="dxa"/>
            <w:tcBorders>
              <w:top w:val="nil"/>
              <w:left w:val="nil"/>
              <w:bottom w:val="single" w:sz="4" w:space="0" w:color="auto"/>
              <w:right w:val="single" w:sz="4" w:space="0" w:color="auto"/>
            </w:tcBorders>
            <w:noWrap/>
            <w:vAlign w:val="bottom"/>
            <w:hideMark/>
          </w:tcPr>
          <w:p w14:paraId="27A74F68"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589E0BC4"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r w:rsidR="005B198A" w:rsidRPr="00B50967" w14:paraId="5C47AAA9" w14:textId="77777777" w:rsidTr="008A35DB">
        <w:trPr>
          <w:trHeight w:val="407"/>
        </w:trPr>
        <w:tc>
          <w:tcPr>
            <w:tcW w:w="507" w:type="dxa"/>
            <w:tcBorders>
              <w:top w:val="nil"/>
              <w:left w:val="single" w:sz="4" w:space="0" w:color="auto"/>
              <w:bottom w:val="single" w:sz="4" w:space="0" w:color="auto"/>
              <w:right w:val="single" w:sz="4" w:space="0" w:color="auto"/>
            </w:tcBorders>
            <w:noWrap/>
            <w:vAlign w:val="bottom"/>
            <w:hideMark/>
          </w:tcPr>
          <w:p w14:paraId="3749F610"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29</w:t>
            </w:r>
          </w:p>
        </w:tc>
        <w:tc>
          <w:tcPr>
            <w:tcW w:w="5108" w:type="dxa"/>
            <w:tcBorders>
              <w:top w:val="nil"/>
              <w:left w:val="nil"/>
              <w:bottom w:val="single" w:sz="4" w:space="0" w:color="auto"/>
              <w:right w:val="single" w:sz="4" w:space="0" w:color="auto"/>
            </w:tcBorders>
            <w:noWrap/>
            <w:vAlign w:val="bottom"/>
            <w:hideMark/>
          </w:tcPr>
          <w:p w14:paraId="2B7192DD"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Tier 2: Other capital elements, deductions and adjustments</w:t>
            </w:r>
          </w:p>
        </w:tc>
        <w:tc>
          <w:tcPr>
            <w:tcW w:w="1568" w:type="dxa"/>
            <w:tcBorders>
              <w:top w:val="nil"/>
              <w:left w:val="nil"/>
              <w:bottom w:val="single" w:sz="4" w:space="0" w:color="auto"/>
              <w:right w:val="single" w:sz="4" w:space="0" w:color="auto"/>
            </w:tcBorders>
            <w:noWrap/>
            <w:vAlign w:val="bottom"/>
            <w:hideMark/>
          </w:tcPr>
          <w:p w14:paraId="3F1BF3F7"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059" w:type="dxa"/>
            <w:tcBorders>
              <w:top w:val="nil"/>
              <w:left w:val="nil"/>
              <w:bottom w:val="single" w:sz="4" w:space="0" w:color="auto"/>
              <w:right w:val="single" w:sz="4" w:space="0" w:color="auto"/>
            </w:tcBorders>
            <w:noWrap/>
            <w:vAlign w:val="bottom"/>
            <w:hideMark/>
          </w:tcPr>
          <w:p w14:paraId="2E6B0FBE" w14:textId="77777777" w:rsidR="005B198A" w:rsidRPr="00B50967" w:rsidRDefault="005B198A" w:rsidP="008A35DB">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r>
    </w:tbl>
    <w:p w14:paraId="1A0128F5" w14:textId="77852EA0" w:rsidR="005B198A" w:rsidRPr="00B50967" w:rsidRDefault="005B198A" w:rsidP="00EF25FE">
      <w:pPr>
        <w:jc w:val="both"/>
        <w:rPr>
          <w:rFonts w:asciiTheme="majorHAnsi" w:hAnsiTheme="majorHAnsi" w:cstheme="majorHAnsi"/>
          <w:sz w:val="20"/>
          <w:szCs w:val="20"/>
        </w:rPr>
        <w:sectPr w:rsidR="005B198A" w:rsidRPr="00B50967">
          <w:headerReference w:type="default" r:id="rId11"/>
          <w:footerReference w:type="even" r:id="rId12"/>
          <w:footerReference w:type="default" r:id="rId13"/>
          <w:footerReference w:type="first" r:id="rId14"/>
          <w:pgSz w:w="12240" w:h="15840"/>
          <w:pgMar w:top="1440" w:right="1440" w:bottom="1440" w:left="1440" w:header="720" w:footer="720" w:gutter="0"/>
          <w:cols w:space="720"/>
          <w:docGrid w:linePitch="360"/>
        </w:sectPr>
      </w:pPr>
    </w:p>
    <w:tbl>
      <w:tblPr>
        <w:tblpPr w:leftFromText="180" w:rightFromText="180" w:vertAnchor="text" w:horzAnchor="margin" w:tblpY="412"/>
        <w:tblW w:w="8500" w:type="dxa"/>
        <w:tblLook w:val="04A0" w:firstRow="1" w:lastRow="0" w:firstColumn="1" w:lastColumn="0" w:noHBand="0" w:noVBand="1"/>
      </w:tblPr>
      <w:tblGrid>
        <w:gridCol w:w="531"/>
        <w:gridCol w:w="2604"/>
        <w:gridCol w:w="2152"/>
        <w:gridCol w:w="3213"/>
      </w:tblGrid>
      <w:tr w:rsidR="00472B85" w:rsidRPr="00B50967" w14:paraId="250F7574" w14:textId="77777777" w:rsidTr="00D94007">
        <w:trPr>
          <w:trHeight w:val="607"/>
        </w:trPr>
        <w:tc>
          <w:tcPr>
            <w:tcW w:w="531" w:type="dxa"/>
            <w:tcBorders>
              <w:top w:val="nil"/>
              <w:left w:val="single" w:sz="4" w:space="0" w:color="auto"/>
              <w:bottom w:val="single" w:sz="4" w:space="0" w:color="auto"/>
              <w:right w:val="single" w:sz="4" w:space="0" w:color="auto"/>
            </w:tcBorders>
            <w:shd w:val="clear" w:color="auto" w:fill="006CA9"/>
            <w:vAlign w:val="bottom"/>
            <w:hideMark/>
          </w:tcPr>
          <w:p w14:paraId="712E8B42" w14:textId="77777777" w:rsidR="00472B85" w:rsidRPr="00B50967" w:rsidRDefault="00472B85" w:rsidP="00D94007">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lastRenderedPageBreak/>
              <w:t> </w:t>
            </w:r>
          </w:p>
        </w:tc>
        <w:tc>
          <w:tcPr>
            <w:tcW w:w="2604" w:type="dxa"/>
            <w:tcBorders>
              <w:top w:val="nil"/>
              <w:left w:val="nil"/>
              <w:bottom w:val="single" w:sz="4" w:space="0" w:color="auto"/>
              <w:right w:val="single" w:sz="4" w:space="0" w:color="auto"/>
            </w:tcBorders>
            <w:shd w:val="clear" w:color="auto" w:fill="006CA9"/>
            <w:vAlign w:val="bottom"/>
            <w:hideMark/>
          </w:tcPr>
          <w:p w14:paraId="21A14728" w14:textId="77777777" w:rsidR="00472B85" w:rsidRPr="00770678" w:rsidRDefault="00472B85" w:rsidP="00D94007">
            <w:pPr>
              <w:jc w:val="both"/>
              <w:rPr>
                <w:rFonts w:eastAsia="Times New Roman" w:cstheme="minorHAnsi"/>
                <w:color w:val="000000"/>
                <w:lang w:val="en-GB" w:eastAsia="en-GB"/>
              </w:rPr>
            </w:pPr>
            <w:r w:rsidRPr="00770678">
              <w:rPr>
                <w:rFonts w:eastAsia="Times New Roman" w:cstheme="minorHAnsi"/>
                <w:color w:val="000000"/>
                <w:lang w:val="en-GB" w:eastAsia="en-GB"/>
              </w:rPr>
              <w:t> </w:t>
            </w:r>
          </w:p>
        </w:tc>
        <w:tc>
          <w:tcPr>
            <w:tcW w:w="2152" w:type="dxa"/>
            <w:tcBorders>
              <w:top w:val="nil"/>
              <w:left w:val="nil"/>
              <w:bottom w:val="single" w:sz="4" w:space="0" w:color="auto"/>
              <w:right w:val="single" w:sz="4" w:space="0" w:color="auto"/>
            </w:tcBorders>
            <w:shd w:val="clear" w:color="auto" w:fill="006CA9"/>
            <w:vAlign w:val="bottom"/>
            <w:hideMark/>
          </w:tcPr>
          <w:p w14:paraId="43339DD3" w14:textId="77777777" w:rsidR="00472B85" w:rsidRPr="00770678" w:rsidRDefault="00472B85" w:rsidP="00D94007">
            <w:pPr>
              <w:jc w:val="both"/>
              <w:rPr>
                <w:rFonts w:eastAsia="Times New Roman" w:cstheme="minorHAnsi"/>
                <w:b/>
                <w:bCs/>
                <w:color w:val="FFFFFF" w:themeColor="background1"/>
                <w:lang w:val="en-GB" w:eastAsia="en-GB"/>
              </w:rPr>
            </w:pPr>
            <w:r w:rsidRPr="00770678">
              <w:rPr>
                <w:rFonts w:eastAsia="Times New Roman" w:cstheme="minorHAnsi"/>
                <w:b/>
                <w:bCs/>
                <w:color w:val="FFFFFF" w:themeColor="background1"/>
                <w:lang w:val="en-GB" w:eastAsia="en-GB"/>
              </w:rPr>
              <w:t>Balance Sheet as in Published/Audited Financial Statements</w:t>
            </w:r>
          </w:p>
        </w:tc>
        <w:tc>
          <w:tcPr>
            <w:tcW w:w="3213" w:type="dxa"/>
            <w:tcBorders>
              <w:top w:val="nil"/>
              <w:left w:val="nil"/>
              <w:bottom w:val="single" w:sz="4" w:space="0" w:color="auto"/>
              <w:right w:val="single" w:sz="4" w:space="0" w:color="auto"/>
            </w:tcBorders>
            <w:shd w:val="clear" w:color="auto" w:fill="006CA9"/>
            <w:vAlign w:val="bottom"/>
            <w:hideMark/>
          </w:tcPr>
          <w:p w14:paraId="1783598F" w14:textId="77777777" w:rsidR="00472B85" w:rsidRPr="004A641B" w:rsidRDefault="00472B85" w:rsidP="00D94007">
            <w:pPr>
              <w:jc w:val="both"/>
              <w:rPr>
                <w:rFonts w:eastAsia="Times New Roman" w:cstheme="minorHAnsi"/>
                <w:b/>
                <w:bCs/>
                <w:color w:val="FFFFFF" w:themeColor="background1"/>
                <w:sz w:val="20"/>
                <w:szCs w:val="20"/>
                <w:lang w:val="en-GB" w:eastAsia="en-GB"/>
              </w:rPr>
            </w:pPr>
            <w:r w:rsidRPr="004A641B">
              <w:rPr>
                <w:rFonts w:eastAsia="Times New Roman" w:cstheme="minorHAnsi"/>
                <w:b/>
                <w:bCs/>
                <w:color w:val="FFFFFF" w:themeColor="background1"/>
                <w:sz w:val="20"/>
                <w:szCs w:val="20"/>
                <w:lang w:val="en-GB" w:eastAsia="en-GB"/>
              </w:rPr>
              <w:t>Cross-Reference to Above Template</w:t>
            </w:r>
          </w:p>
        </w:tc>
      </w:tr>
      <w:tr w:rsidR="00472B85" w:rsidRPr="00B50967" w14:paraId="7D2166E1" w14:textId="77777777" w:rsidTr="00D94007">
        <w:trPr>
          <w:trHeight w:val="283"/>
        </w:trPr>
        <w:tc>
          <w:tcPr>
            <w:tcW w:w="531" w:type="dxa"/>
            <w:tcBorders>
              <w:top w:val="nil"/>
              <w:left w:val="single" w:sz="4" w:space="0" w:color="auto"/>
              <w:bottom w:val="single" w:sz="4" w:space="0" w:color="auto"/>
              <w:right w:val="single" w:sz="4" w:space="0" w:color="auto"/>
            </w:tcBorders>
            <w:shd w:val="clear" w:color="auto" w:fill="006CA9"/>
            <w:vAlign w:val="bottom"/>
            <w:hideMark/>
          </w:tcPr>
          <w:p w14:paraId="5D19A6F3" w14:textId="77777777" w:rsidR="00472B85" w:rsidRPr="00B50967" w:rsidRDefault="00472B85" w:rsidP="00D94007">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p>
        </w:tc>
        <w:tc>
          <w:tcPr>
            <w:tcW w:w="2604" w:type="dxa"/>
            <w:tcBorders>
              <w:top w:val="nil"/>
              <w:left w:val="nil"/>
              <w:bottom w:val="single" w:sz="4" w:space="0" w:color="auto"/>
              <w:right w:val="single" w:sz="4" w:space="0" w:color="auto"/>
            </w:tcBorders>
            <w:shd w:val="clear" w:color="auto" w:fill="006CA9"/>
            <w:vAlign w:val="bottom"/>
            <w:hideMark/>
          </w:tcPr>
          <w:p w14:paraId="3C26A0E1" w14:textId="77777777" w:rsidR="00472B85" w:rsidRPr="00770678" w:rsidRDefault="00472B85" w:rsidP="00D94007">
            <w:pPr>
              <w:jc w:val="both"/>
              <w:rPr>
                <w:rFonts w:eastAsia="Times New Roman" w:cstheme="minorHAnsi"/>
                <w:color w:val="000000"/>
                <w:lang w:val="en-GB" w:eastAsia="en-GB"/>
              </w:rPr>
            </w:pPr>
            <w:r w:rsidRPr="00770678">
              <w:rPr>
                <w:rFonts w:eastAsia="Times New Roman" w:cstheme="minorHAnsi"/>
                <w:color w:val="000000"/>
                <w:lang w:val="en-GB" w:eastAsia="en-GB"/>
              </w:rPr>
              <w:t> </w:t>
            </w:r>
          </w:p>
        </w:tc>
        <w:tc>
          <w:tcPr>
            <w:tcW w:w="2152" w:type="dxa"/>
            <w:tcBorders>
              <w:top w:val="nil"/>
              <w:left w:val="nil"/>
              <w:bottom w:val="single" w:sz="4" w:space="0" w:color="auto"/>
              <w:right w:val="single" w:sz="4" w:space="0" w:color="auto"/>
            </w:tcBorders>
            <w:shd w:val="clear" w:color="auto" w:fill="006CA9"/>
            <w:vAlign w:val="bottom"/>
            <w:hideMark/>
          </w:tcPr>
          <w:p w14:paraId="30F6A118" w14:textId="0BA53E74" w:rsidR="00472B85" w:rsidRPr="00770678" w:rsidRDefault="00472B85" w:rsidP="00D94007">
            <w:pPr>
              <w:jc w:val="both"/>
              <w:rPr>
                <w:rFonts w:eastAsia="Times New Roman" w:cstheme="minorHAnsi"/>
                <w:color w:val="FFFFFF" w:themeColor="background1"/>
                <w:lang w:val="en-GB" w:eastAsia="en-GB"/>
              </w:rPr>
            </w:pPr>
            <w:r w:rsidRPr="00770678">
              <w:rPr>
                <w:rFonts w:eastAsia="Times New Roman" w:cstheme="minorHAnsi"/>
                <w:color w:val="FFFFFF" w:themeColor="background1"/>
                <w:lang w:val="en-GB" w:eastAsia="en-GB"/>
              </w:rPr>
              <w:t xml:space="preserve">As at </w:t>
            </w:r>
            <w:r>
              <w:rPr>
                <w:rFonts w:eastAsia="Times New Roman" w:cstheme="minorHAnsi"/>
                <w:color w:val="FFFFFF" w:themeColor="background1"/>
                <w:lang w:val="en-GB" w:eastAsia="en-GB"/>
              </w:rPr>
              <w:t>31 December 202</w:t>
            </w:r>
            <w:r w:rsidR="000A01E2">
              <w:rPr>
                <w:rFonts w:eastAsia="Times New Roman" w:cstheme="minorHAnsi"/>
                <w:color w:val="FFFFFF" w:themeColor="background1"/>
                <w:lang w:val="en-GB" w:eastAsia="en-GB"/>
              </w:rPr>
              <w:t>5</w:t>
            </w:r>
          </w:p>
        </w:tc>
        <w:tc>
          <w:tcPr>
            <w:tcW w:w="3213" w:type="dxa"/>
            <w:tcBorders>
              <w:top w:val="nil"/>
              <w:left w:val="nil"/>
              <w:bottom w:val="single" w:sz="4" w:space="0" w:color="auto"/>
              <w:right w:val="single" w:sz="4" w:space="0" w:color="auto"/>
            </w:tcBorders>
            <w:shd w:val="clear" w:color="auto" w:fill="006CA9"/>
            <w:vAlign w:val="bottom"/>
            <w:hideMark/>
          </w:tcPr>
          <w:p w14:paraId="05893E23" w14:textId="77777777" w:rsidR="00472B85" w:rsidRPr="004A641B" w:rsidRDefault="00472B85" w:rsidP="00D94007">
            <w:pPr>
              <w:jc w:val="both"/>
              <w:rPr>
                <w:rFonts w:eastAsia="Times New Roman" w:cstheme="minorHAnsi"/>
                <w:color w:val="FFFFFF" w:themeColor="background1"/>
                <w:sz w:val="20"/>
                <w:szCs w:val="20"/>
                <w:lang w:val="en-GB" w:eastAsia="en-GB"/>
              </w:rPr>
            </w:pPr>
            <w:r w:rsidRPr="004A641B">
              <w:rPr>
                <w:rFonts w:eastAsia="Times New Roman" w:cstheme="minorHAnsi"/>
                <w:color w:val="FFFFFF" w:themeColor="background1"/>
                <w:sz w:val="20"/>
                <w:szCs w:val="20"/>
                <w:lang w:val="en-GB" w:eastAsia="en-GB"/>
              </w:rPr>
              <w:t> </w:t>
            </w:r>
          </w:p>
        </w:tc>
      </w:tr>
      <w:tr w:rsidR="00472B85" w:rsidRPr="00B50967" w14:paraId="6079A8E7" w14:textId="77777777" w:rsidTr="00D94007">
        <w:trPr>
          <w:trHeight w:val="283"/>
        </w:trPr>
        <w:tc>
          <w:tcPr>
            <w:tcW w:w="531" w:type="dxa"/>
            <w:tcBorders>
              <w:top w:val="nil"/>
              <w:left w:val="single" w:sz="4" w:space="0" w:color="auto"/>
              <w:bottom w:val="single" w:sz="4" w:space="0" w:color="auto"/>
              <w:right w:val="single" w:sz="4" w:space="0" w:color="auto"/>
            </w:tcBorders>
            <w:vAlign w:val="bottom"/>
            <w:hideMark/>
          </w:tcPr>
          <w:p w14:paraId="68995B25" w14:textId="77777777"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1</w:t>
            </w:r>
          </w:p>
        </w:tc>
        <w:tc>
          <w:tcPr>
            <w:tcW w:w="2604" w:type="dxa"/>
            <w:tcBorders>
              <w:top w:val="nil"/>
              <w:left w:val="nil"/>
              <w:bottom w:val="single" w:sz="4" w:space="0" w:color="auto"/>
              <w:right w:val="single" w:sz="4" w:space="0" w:color="auto"/>
            </w:tcBorders>
            <w:vAlign w:val="bottom"/>
            <w:hideMark/>
          </w:tcPr>
          <w:p w14:paraId="5E4A8C8E" w14:textId="6A084F8C"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 </w:t>
            </w:r>
            <w:r>
              <w:rPr>
                <w:rFonts w:eastAsia="Times New Roman" w:cstheme="minorHAnsi"/>
                <w:color w:val="000000"/>
                <w:lang w:val="en-GB" w:eastAsia="en-GB"/>
              </w:rPr>
              <w:t xml:space="preserve">Cash at bank </w:t>
            </w:r>
          </w:p>
        </w:tc>
        <w:tc>
          <w:tcPr>
            <w:tcW w:w="2152" w:type="dxa"/>
            <w:tcBorders>
              <w:top w:val="nil"/>
              <w:left w:val="nil"/>
              <w:bottom w:val="single" w:sz="4" w:space="0" w:color="auto"/>
              <w:right w:val="single" w:sz="4" w:space="0" w:color="auto"/>
            </w:tcBorders>
            <w:vAlign w:val="bottom"/>
            <w:hideMark/>
          </w:tcPr>
          <w:p w14:paraId="6CFF15ED" w14:textId="549C4C93" w:rsidR="00472B85" w:rsidRPr="00B50967" w:rsidRDefault="000A37F4" w:rsidP="00D94007">
            <w:pPr>
              <w:jc w:val="both"/>
              <w:rPr>
                <w:rFonts w:eastAsia="Times New Roman" w:cstheme="minorHAnsi"/>
                <w:color w:val="000000"/>
                <w:sz w:val="20"/>
                <w:szCs w:val="20"/>
                <w:lang w:val="en-GB" w:eastAsia="en-GB"/>
              </w:rPr>
            </w:pPr>
            <w:r>
              <w:rPr>
                <w:rFonts w:eastAsia="Times New Roman" w:cstheme="minorHAnsi"/>
                <w:color w:val="000000"/>
                <w:sz w:val="20"/>
                <w:szCs w:val="20"/>
                <w:lang w:val="en-GB" w:eastAsia="en-GB"/>
              </w:rPr>
              <w:t>1</w:t>
            </w:r>
            <w:r w:rsidR="007C63C4">
              <w:rPr>
                <w:rFonts w:eastAsia="Times New Roman" w:cstheme="minorHAnsi"/>
                <w:color w:val="000000"/>
                <w:sz w:val="20"/>
                <w:szCs w:val="20"/>
                <w:lang w:val="en-GB" w:eastAsia="en-GB"/>
              </w:rPr>
              <w:t>,</w:t>
            </w:r>
            <w:r>
              <w:rPr>
                <w:rFonts w:eastAsia="Times New Roman" w:cstheme="minorHAnsi"/>
                <w:color w:val="000000"/>
                <w:sz w:val="20"/>
                <w:szCs w:val="20"/>
                <w:lang w:val="en-GB" w:eastAsia="en-GB"/>
              </w:rPr>
              <w:t>937</w:t>
            </w:r>
          </w:p>
        </w:tc>
        <w:tc>
          <w:tcPr>
            <w:tcW w:w="3213" w:type="dxa"/>
            <w:tcBorders>
              <w:top w:val="nil"/>
              <w:left w:val="nil"/>
              <w:bottom w:val="single" w:sz="4" w:space="0" w:color="auto"/>
              <w:right w:val="single" w:sz="4" w:space="0" w:color="auto"/>
            </w:tcBorders>
            <w:vAlign w:val="bottom"/>
            <w:hideMark/>
          </w:tcPr>
          <w:p w14:paraId="3C6742C7" w14:textId="0A61C1B2" w:rsidR="00472B85" w:rsidRPr="00037DB5" w:rsidRDefault="00472B85" w:rsidP="00D94007">
            <w:pPr>
              <w:jc w:val="both"/>
              <w:rPr>
                <w:rFonts w:eastAsia="Times New Roman" w:cstheme="minorHAnsi"/>
                <w:color w:val="000000"/>
                <w:sz w:val="20"/>
                <w:szCs w:val="20"/>
                <w:lang w:val="en-GB" w:eastAsia="en-GB"/>
              </w:rPr>
            </w:pPr>
            <w:r w:rsidRPr="00037DB5">
              <w:rPr>
                <w:rFonts w:eastAsia="Times New Roman" w:cstheme="minorHAnsi"/>
                <w:color w:val="000000"/>
                <w:sz w:val="20"/>
                <w:szCs w:val="20"/>
                <w:lang w:val="en-GB" w:eastAsia="en-GB"/>
              </w:rPr>
              <w:t> Forms part of items 1-3</w:t>
            </w:r>
          </w:p>
        </w:tc>
      </w:tr>
      <w:tr w:rsidR="00472B85" w:rsidRPr="00B50967" w14:paraId="0EA0112D" w14:textId="77777777" w:rsidTr="00D94007">
        <w:trPr>
          <w:trHeight w:val="283"/>
        </w:trPr>
        <w:tc>
          <w:tcPr>
            <w:tcW w:w="531" w:type="dxa"/>
            <w:tcBorders>
              <w:top w:val="nil"/>
              <w:left w:val="single" w:sz="4" w:space="0" w:color="auto"/>
              <w:bottom w:val="single" w:sz="4" w:space="0" w:color="auto"/>
              <w:right w:val="single" w:sz="4" w:space="0" w:color="auto"/>
            </w:tcBorders>
            <w:vAlign w:val="bottom"/>
            <w:hideMark/>
          </w:tcPr>
          <w:p w14:paraId="3651933D" w14:textId="77777777"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2</w:t>
            </w:r>
          </w:p>
        </w:tc>
        <w:tc>
          <w:tcPr>
            <w:tcW w:w="2604" w:type="dxa"/>
            <w:tcBorders>
              <w:top w:val="nil"/>
              <w:left w:val="nil"/>
              <w:bottom w:val="single" w:sz="4" w:space="0" w:color="auto"/>
              <w:right w:val="single" w:sz="4" w:space="0" w:color="auto"/>
            </w:tcBorders>
            <w:vAlign w:val="bottom"/>
            <w:hideMark/>
          </w:tcPr>
          <w:p w14:paraId="728A6585" w14:textId="6D2D23E3"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 </w:t>
            </w:r>
            <w:r>
              <w:rPr>
                <w:rFonts w:eastAsia="Times New Roman" w:cstheme="minorHAnsi"/>
                <w:color w:val="000000"/>
                <w:lang w:val="en-GB" w:eastAsia="en-GB"/>
              </w:rPr>
              <w:t>Financial assets</w:t>
            </w:r>
          </w:p>
        </w:tc>
        <w:tc>
          <w:tcPr>
            <w:tcW w:w="2152" w:type="dxa"/>
            <w:tcBorders>
              <w:top w:val="nil"/>
              <w:left w:val="nil"/>
              <w:bottom w:val="single" w:sz="4" w:space="0" w:color="auto"/>
              <w:right w:val="single" w:sz="4" w:space="0" w:color="auto"/>
            </w:tcBorders>
            <w:vAlign w:val="bottom"/>
            <w:hideMark/>
          </w:tcPr>
          <w:p w14:paraId="4265A1C4" w14:textId="2BEFDA34" w:rsidR="00472B85" w:rsidRPr="00B50967" w:rsidRDefault="000A37F4" w:rsidP="00D94007">
            <w:pPr>
              <w:jc w:val="both"/>
              <w:rPr>
                <w:rFonts w:eastAsia="Times New Roman" w:cstheme="minorHAnsi"/>
                <w:color w:val="000000"/>
                <w:sz w:val="20"/>
                <w:szCs w:val="20"/>
                <w:lang w:val="en-GB" w:eastAsia="en-GB"/>
              </w:rPr>
            </w:pPr>
            <w:r>
              <w:rPr>
                <w:rFonts w:eastAsia="Times New Roman" w:cstheme="minorHAnsi"/>
                <w:color w:val="000000"/>
                <w:sz w:val="20"/>
                <w:szCs w:val="20"/>
                <w:lang w:val="en-GB" w:eastAsia="en-GB"/>
              </w:rPr>
              <w:t>11</w:t>
            </w:r>
            <w:r w:rsidR="007C63C4">
              <w:rPr>
                <w:rFonts w:eastAsia="Times New Roman" w:cstheme="minorHAnsi"/>
                <w:color w:val="000000"/>
                <w:sz w:val="20"/>
                <w:szCs w:val="20"/>
                <w:lang w:val="en-GB" w:eastAsia="en-GB"/>
              </w:rPr>
              <w:t>,7</w:t>
            </w:r>
            <w:r>
              <w:rPr>
                <w:rFonts w:eastAsia="Times New Roman" w:cstheme="minorHAnsi"/>
                <w:color w:val="000000"/>
                <w:sz w:val="20"/>
                <w:szCs w:val="20"/>
                <w:lang w:val="en-GB" w:eastAsia="en-GB"/>
              </w:rPr>
              <w:t>56</w:t>
            </w:r>
            <w:r w:rsidR="00472B85" w:rsidRPr="00B50967">
              <w:rPr>
                <w:rFonts w:eastAsia="Times New Roman" w:cstheme="minorHAnsi"/>
                <w:color w:val="000000"/>
                <w:sz w:val="20"/>
                <w:szCs w:val="20"/>
                <w:lang w:val="en-GB" w:eastAsia="en-GB"/>
              </w:rPr>
              <w:t> </w:t>
            </w:r>
          </w:p>
        </w:tc>
        <w:tc>
          <w:tcPr>
            <w:tcW w:w="3213" w:type="dxa"/>
            <w:tcBorders>
              <w:top w:val="nil"/>
              <w:left w:val="nil"/>
              <w:bottom w:val="single" w:sz="4" w:space="0" w:color="auto"/>
              <w:right w:val="single" w:sz="4" w:space="0" w:color="auto"/>
            </w:tcBorders>
            <w:vAlign w:val="bottom"/>
            <w:hideMark/>
          </w:tcPr>
          <w:p w14:paraId="07E245E5" w14:textId="4601FA59" w:rsidR="00472B85" w:rsidRPr="00037DB5" w:rsidRDefault="00472B85" w:rsidP="00D94007">
            <w:pPr>
              <w:jc w:val="both"/>
              <w:rPr>
                <w:rFonts w:eastAsia="Times New Roman" w:cstheme="minorHAnsi"/>
                <w:color w:val="000000"/>
                <w:sz w:val="20"/>
                <w:szCs w:val="20"/>
                <w:lang w:val="en-GB" w:eastAsia="en-GB"/>
              </w:rPr>
            </w:pPr>
            <w:r w:rsidRPr="00037DB5">
              <w:rPr>
                <w:rFonts w:eastAsia="Times New Roman" w:cstheme="minorHAnsi"/>
                <w:color w:val="000000"/>
                <w:sz w:val="20"/>
                <w:szCs w:val="20"/>
                <w:lang w:val="en-GB" w:eastAsia="en-GB"/>
              </w:rPr>
              <w:t>   Forms part of items 1-3</w:t>
            </w:r>
          </w:p>
        </w:tc>
      </w:tr>
      <w:tr w:rsidR="00472B85" w:rsidRPr="00B50967" w14:paraId="580A0CD3" w14:textId="77777777" w:rsidTr="00D94007">
        <w:trPr>
          <w:trHeight w:val="283"/>
        </w:trPr>
        <w:tc>
          <w:tcPr>
            <w:tcW w:w="531" w:type="dxa"/>
            <w:tcBorders>
              <w:top w:val="nil"/>
              <w:left w:val="single" w:sz="4" w:space="0" w:color="auto"/>
              <w:bottom w:val="single" w:sz="4" w:space="0" w:color="auto"/>
              <w:right w:val="single" w:sz="4" w:space="0" w:color="auto"/>
            </w:tcBorders>
            <w:vAlign w:val="bottom"/>
            <w:hideMark/>
          </w:tcPr>
          <w:p w14:paraId="2DBF9A8E" w14:textId="77777777"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3</w:t>
            </w:r>
          </w:p>
        </w:tc>
        <w:tc>
          <w:tcPr>
            <w:tcW w:w="2604" w:type="dxa"/>
            <w:tcBorders>
              <w:top w:val="nil"/>
              <w:left w:val="nil"/>
              <w:bottom w:val="single" w:sz="4" w:space="0" w:color="auto"/>
              <w:right w:val="single" w:sz="4" w:space="0" w:color="auto"/>
            </w:tcBorders>
            <w:vAlign w:val="bottom"/>
            <w:hideMark/>
          </w:tcPr>
          <w:p w14:paraId="2A98FDB3" w14:textId="396A4369"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 </w:t>
            </w:r>
            <w:r>
              <w:rPr>
                <w:rFonts w:eastAsia="Times New Roman" w:cstheme="minorHAnsi"/>
                <w:color w:val="000000"/>
                <w:lang w:val="en-GB" w:eastAsia="en-GB"/>
              </w:rPr>
              <w:t>Other debtors</w:t>
            </w:r>
          </w:p>
        </w:tc>
        <w:tc>
          <w:tcPr>
            <w:tcW w:w="2152" w:type="dxa"/>
            <w:tcBorders>
              <w:top w:val="nil"/>
              <w:left w:val="nil"/>
              <w:bottom w:val="single" w:sz="4" w:space="0" w:color="auto"/>
              <w:right w:val="single" w:sz="4" w:space="0" w:color="auto"/>
            </w:tcBorders>
            <w:vAlign w:val="bottom"/>
            <w:hideMark/>
          </w:tcPr>
          <w:p w14:paraId="4A4973C6" w14:textId="3A72BF0C" w:rsidR="00472B85" w:rsidRPr="00B50967" w:rsidRDefault="009D12C3" w:rsidP="00D94007">
            <w:pPr>
              <w:jc w:val="both"/>
              <w:rPr>
                <w:rFonts w:eastAsia="Times New Roman" w:cstheme="minorHAnsi"/>
                <w:color w:val="000000"/>
                <w:sz w:val="20"/>
                <w:szCs w:val="20"/>
                <w:lang w:val="en-GB" w:eastAsia="en-GB"/>
              </w:rPr>
            </w:pPr>
            <w:r>
              <w:rPr>
                <w:rFonts w:eastAsia="Times New Roman" w:cstheme="minorHAnsi"/>
                <w:color w:val="000000"/>
                <w:sz w:val="20"/>
                <w:szCs w:val="20"/>
                <w:lang w:val="en-GB" w:eastAsia="en-GB"/>
              </w:rPr>
              <w:t>9</w:t>
            </w:r>
            <w:r w:rsidR="00472B85">
              <w:rPr>
                <w:rFonts w:eastAsia="Times New Roman" w:cstheme="minorHAnsi"/>
                <w:color w:val="000000"/>
                <w:sz w:val="20"/>
                <w:szCs w:val="20"/>
                <w:lang w:val="en-GB" w:eastAsia="en-GB"/>
              </w:rPr>
              <w:t>,</w:t>
            </w:r>
            <w:r w:rsidR="00805ED2">
              <w:rPr>
                <w:rFonts w:eastAsia="Times New Roman" w:cstheme="minorHAnsi"/>
                <w:color w:val="000000"/>
                <w:sz w:val="20"/>
                <w:szCs w:val="20"/>
                <w:lang w:val="en-GB" w:eastAsia="en-GB"/>
              </w:rPr>
              <w:t>522</w:t>
            </w:r>
          </w:p>
        </w:tc>
        <w:tc>
          <w:tcPr>
            <w:tcW w:w="3213" w:type="dxa"/>
            <w:tcBorders>
              <w:top w:val="nil"/>
              <w:left w:val="nil"/>
              <w:bottom w:val="single" w:sz="4" w:space="0" w:color="auto"/>
              <w:right w:val="single" w:sz="4" w:space="0" w:color="auto"/>
            </w:tcBorders>
            <w:vAlign w:val="bottom"/>
            <w:hideMark/>
          </w:tcPr>
          <w:p w14:paraId="24BBE9EE" w14:textId="0F1E29FA" w:rsidR="00472B85" w:rsidRPr="00037DB5" w:rsidRDefault="00472B85" w:rsidP="00D94007">
            <w:pPr>
              <w:jc w:val="both"/>
              <w:rPr>
                <w:rFonts w:eastAsia="Times New Roman" w:cstheme="minorHAnsi"/>
                <w:color w:val="000000"/>
                <w:sz w:val="20"/>
                <w:szCs w:val="20"/>
                <w:lang w:val="en-GB" w:eastAsia="en-GB"/>
              </w:rPr>
            </w:pPr>
            <w:r w:rsidRPr="00037DB5">
              <w:rPr>
                <w:rFonts w:eastAsia="Times New Roman" w:cstheme="minorHAnsi"/>
                <w:color w:val="000000"/>
                <w:sz w:val="20"/>
                <w:szCs w:val="20"/>
                <w:lang w:val="en-GB" w:eastAsia="en-GB"/>
              </w:rPr>
              <w:t>  Forms part of items 1-3</w:t>
            </w:r>
            <w:r w:rsidR="002C5974" w:rsidRPr="00037DB5">
              <w:rPr>
                <w:rFonts w:eastAsia="Times New Roman" w:cstheme="minorHAnsi"/>
                <w:color w:val="000000"/>
                <w:sz w:val="20"/>
                <w:szCs w:val="20"/>
                <w:lang w:val="en-GB" w:eastAsia="en-GB"/>
              </w:rPr>
              <w:t>, 11</w:t>
            </w:r>
          </w:p>
        </w:tc>
      </w:tr>
      <w:tr w:rsidR="00472B85" w:rsidRPr="00B50967" w14:paraId="0E04D41C" w14:textId="77777777" w:rsidTr="00D94007">
        <w:trPr>
          <w:trHeight w:val="283"/>
        </w:trPr>
        <w:tc>
          <w:tcPr>
            <w:tcW w:w="531" w:type="dxa"/>
            <w:tcBorders>
              <w:top w:val="nil"/>
              <w:left w:val="single" w:sz="4" w:space="0" w:color="auto"/>
              <w:bottom w:val="single" w:sz="4" w:space="0" w:color="auto"/>
              <w:right w:val="single" w:sz="4" w:space="0" w:color="auto"/>
            </w:tcBorders>
            <w:vAlign w:val="bottom"/>
            <w:hideMark/>
          </w:tcPr>
          <w:p w14:paraId="1CA07A8F" w14:textId="18D68BF9" w:rsidR="00472B85" w:rsidRPr="00B21346" w:rsidRDefault="00472B85" w:rsidP="00D94007">
            <w:pPr>
              <w:jc w:val="both"/>
              <w:rPr>
                <w:rFonts w:eastAsia="Times New Roman" w:cstheme="minorHAnsi"/>
                <w:color w:val="000000"/>
                <w:lang w:val="en-GB" w:eastAsia="en-GB"/>
              </w:rPr>
            </w:pPr>
          </w:p>
        </w:tc>
        <w:tc>
          <w:tcPr>
            <w:tcW w:w="2604" w:type="dxa"/>
            <w:tcBorders>
              <w:top w:val="nil"/>
              <w:left w:val="nil"/>
              <w:bottom w:val="single" w:sz="4" w:space="0" w:color="auto"/>
              <w:right w:val="single" w:sz="4" w:space="0" w:color="auto"/>
            </w:tcBorders>
            <w:vAlign w:val="bottom"/>
            <w:hideMark/>
          </w:tcPr>
          <w:p w14:paraId="538A80E9" w14:textId="77777777" w:rsidR="00472B85" w:rsidRPr="00B21346" w:rsidRDefault="00472B85" w:rsidP="00D94007">
            <w:pPr>
              <w:jc w:val="both"/>
              <w:rPr>
                <w:rFonts w:eastAsia="Times New Roman" w:cstheme="minorHAnsi"/>
                <w:b/>
                <w:bCs/>
                <w:color w:val="000000"/>
                <w:lang w:val="en-GB" w:eastAsia="en-GB"/>
              </w:rPr>
            </w:pPr>
            <w:r w:rsidRPr="00B21346">
              <w:rPr>
                <w:rFonts w:eastAsia="Times New Roman" w:cstheme="minorHAnsi"/>
                <w:b/>
                <w:bCs/>
                <w:color w:val="000000"/>
                <w:lang w:val="en-GB" w:eastAsia="en-GB"/>
              </w:rPr>
              <w:t>Total Assets</w:t>
            </w:r>
          </w:p>
        </w:tc>
        <w:tc>
          <w:tcPr>
            <w:tcW w:w="2152" w:type="dxa"/>
            <w:tcBorders>
              <w:top w:val="nil"/>
              <w:left w:val="nil"/>
              <w:bottom w:val="single" w:sz="4" w:space="0" w:color="auto"/>
              <w:right w:val="single" w:sz="4" w:space="0" w:color="auto"/>
            </w:tcBorders>
            <w:vAlign w:val="bottom"/>
            <w:hideMark/>
          </w:tcPr>
          <w:p w14:paraId="038056FF" w14:textId="372BA674" w:rsidR="00472B85" w:rsidRPr="00B50967" w:rsidRDefault="00472B85" w:rsidP="00D94007">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r w:rsidR="007C63C4">
              <w:rPr>
                <w:rFonts w:eastAsia="Times New Roman" w:cstheme="minorHAnsi"/>
                <w:color w:val="000000"/>
                <w:sz w:val="20"/>
                <w:szCs w:val="20"/>
                <w:lang w:val="en-GB" w:eastAsia="en-GB"/>
              </w:rPr>
              <w:t>2</w:t>
            </w:r>
            <w:r w:rsidR="009D12C3">
              <w:rPr>
                <w:rFonts w:eastAsia="Times New Roman" w:cstheme="minorHAnsi"/>
                <w:color w:val="000000"/>
                <w:sz w:val="20"/>
                <w:szCs w:val="20"/>
                <w:lang w:val="en-GB" w:eastAsia="en-GB"/>
              </w:rPr>
              <w:t>3</w:t>
            </w:r>
            <w:r w:rsidR="007C63C4">
              <w:rPr>
                <w:rFonts w:eastAsia="Times New Roman" w:cstheme="minorHAnsi"/>
                <w:color w:val="000000"/>
                <w:sz w:val="20"/>
                <w:szCs w:val="20"/>
                <w:lang w:val="en-GB" w:eastAsia="en-GB"/>
              </w:rPr>
              <w:t>,</w:t>
            </w:r>
            <w:r w:rsidR="009D12C3">
              <w:rPr>
                <w:rFonts w:eastAsia="Times New Roman" w:cstheme="minorHAnsi"/>
                <w:color w:val="000000"/>
                <w:sz w:val="20"/>
                <w:szCs w:val="20"/>
                <w:lang w:val="en-GB" w:eastAsia="en-GB"/>
              </w:rPr>
              <w:t>21</w:t>
            </w:r>
            <w:r w:rsidR="00805ED2">
              <w:rPr>
                <w:rFonts w:eastAsia="Times New Roman" w:cstheme="minorHAnsi"/>
                <w:color w:val="000000"/>
                <w:sz w:val="20"/>
                <w:szCs w:val="20"/>
                <w:lang w:val="en-GB" w:eastAsia="en-GB"/>
              </w:rPr>
              <w:t>5</w:t>
            </w:r>
          </w:p>
        </w:tc>
        <w:tc>
          <w:tcPr>
            <w:tcW w:w="3213" w:type="dxa"/>
            <w:tcBorders>
              <w:top w:val="nil"/>
              <w:left w:val="nil"/>
              <w:bottom w:val="single" w:sz="4" w:space="0" w:color="auto"/>
              <w:right w:val="single" w:sz="4" w:space="0" w:color="auto"/>
            </w:tcBorders>
            <w:vAlign w:val="bottom"/>
            <w:hideMark/>
          </w:tcPr>
          <w:p w14:paraId="328E093A" w14:textId="1263C37B" w:rsidR="00472B85" w:rsidRPr="00037DB5" w:rsidRDefault="00472B85" w:rsidP="00D94007">
            <w:pPr>
              <w:jc w:val="both"/>
              <w:rPr>
                <w:rFonts w:eastAsia="Times New Roman" w:cstheme="minorHAnsi"/>
                <w:color w:val="000000"/>
                <w:sz w:val="20"/>
                <w:szCs w:val="20"/>
                <w:lang w:val="en-GB" w:eastAsia="en-GB"/>
              </w:rPr>
            </w:pPr>
            <w:r w:rsidRPr="00037DB5">
              <w:rPr>
                <w:rFonts w:eastAsia="Times New Roman" w:cstheme="minorHAnsi"/>
                <w:color w:val="000000"/>
                <w:sz w:val="20"/>
                <w:szCs w:val="20"/>
                <w:lang w:val="en-GB" w:eastAsia="en-GB"/>
              </w:rPr>
              <w:t>Forms part of items 1-3</w:t>
            </w:r>
          </w:p>
        </w:tc>
      </w:tr>
      <w:tr w:rsidR="00472B85" w:rsidRPr="00B50967" w14:paraId="21D162A4" w14:textId="77777777" w:rsidTr="00D94007">
        <w:trPr>
          <w:trHeight w:val="283"/>
        </w:trPr>
        <w:tc>
          <w:tcPr>
            <w:tcW w:w="531" w:type="dxa"/>
            <w:tcBorders>
              <w:top w:val="nil"/>
              <w:left w:val="single" w:sz="4" w:space="0" w:color="auto"/>
              <w:bottom w:val="single" w:sz="4" w:space="0" w:color="auto"/>
              <w:right w:val="single" w:sz="4" w:space="0" w:color="auto"/>
            </w:tcBorders>
            <w:vAlign w:val="bottom"/>
            <w:hideMark/>
          </w:tcPr>
          <w:p w14:paraId="606FDE81" w14:textId="77777777"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1</w:t>
            </w:r>
          </w:p>
        </w:tc>
        <w:tc>
          <w:tcPr>
            <w:tcW w:w="2604" w:type="dxa"/>
            <w:tcBorders>
              <w:top w:val="nil"/>
              <w:left w:val="nil"/>
              <w:bottom w:val="single" w:sz="4" w:space="0" w:color="auto"/>
              <w:right w:val="single" w:sz="4" w:space="0" w:color="auto"/>
            </w:tcBorders>
            <w:vAlign w:val="bottom"/>
            <w:hideMark/>
          </w:tcPr>
          <w:p w14:paraId="3EB7E796" w14:textId="290A6841" w:rsidR="00472B85" w:rsidRPr="00B50967" w:rsidRDefault="00472B85" w:rsidP="00D94007">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r>
              <w:rPr>
                <w:rFonts w:eastAsia="Times New Roman" w:cstheme="minorHAnsi"/>
                <w:color w:val="000000"/>
                <w:sz w:val="20"/>
                <w:szCs w:val="20"/>
                <w:lang w:val="en-GB" w:eastAsia="en-GB"/>
              </w:rPr>
              <w:t>Current tax liabilities</w:t>
            </w:r>
          </w:p>
        </w:tc>
        <w:tc>
          <w:tcPr>
            <w:tcW w:w="2152" w:type="dxa"/>
            <w:tcBorders>
              <w:top w:val="nil"/>
              <w:left w:val="nil"/>
              <w:bottom w:val="single" w:sz="4" w:space="0" w:color="auto"/>
              <w:right w:val="single" w:sz="4" w:space="0" w:color="auto"/>
            </w:tcBorders>
            <w:vAlign w:val="bottom"/>
            <w:hideMark/>
          </w:tcPr>
          <w:p w14:paraId="303C2E79" w14:textId="7DF38F35" w:rsidR="00472B85" w:rsidRPr="00B50967" w:rsidRDefault="007C63C4" w:rsidP="00D94007">
            <w:pPr>
              <w:jc w:val="both"/>
              <w:rPr>
                <w:rFonts w:eastAsia="Times New Roman" w:cstheme="minorHAnsi"/>
                <w:color w:val="000000"/>
                <w:sz w:val="20"/>
                <w:szCs w:val="20"/>
                <w:lang w:val="en-GB" w:eastAsia="en-GB"/>
              </w:rPr>
            </w:pPr>
            <w:r>
              <w:rPr>
                <w:rFonts w:eastAsia="Times New Roman" w:cstheme="minorHAnsi"/>
                <w:color w:val="000000"/>
                <w:sz w:val="20"/>
                <w:szCs w:val="20"/>
                <w:lang w:val="en-GB" w:eastAsia="en-GB"/>
              </w:rPr>
              <w:t>0</w:t>
            </w:r>
          </w:p>
        </w:tc>
        <w:tc>
          <w:tcPr>
            <w:tcW w:w="3213" w:type="dxa"/>
            <w:tcBorders>
              <w:top w:val="nil"/>
              <w:left w:val="nil"/>
              <w:bottom w:val="single" w:sz="4" w:space="0" w:color="auto"/>
              <w:right w:val="single" w:sz="4" w:space="0" w:color="auto"/>
            </w:tcBorders>
            <w:vAlign w:val="bottom"/>
            <w:hideMark/>
          </w:tcPr>
          <w:p w14:paraId="2D6BF637" w14:textId="3372C9B6" w:rsidR="00472B85" w:rsidRPr="00037DB5" w:rsidRDefault="00472B85" w:rsidP="00D94007">
            <w:pPr>
              <w:jc w:val="both"/>
              <w:rPr>
                <w:rFonts w:eastAsia="Times New Roman" w:cstheme="minorHAnsi"/>
                <w:color w:val="000000"/>
                <w:sz w:val="20"/>
                <w:szCs w:val="20"/>
                <w:lang w:val="en-GB" w:eastAsia="en-GB"/>
              </w:rPr>
            </w:pPr>
            <w:r w:rsidRPr="00037DB5">
              <w:rPr>
                <w:rFonts w:eastAsia="Times New Roman" w:cstheme="minorHAnsi"/>
                <w:color w:val="000000"/>
                <w:sz w:val="20"/>
                <w:szCs w:val="20"/>
                <w:lang w:val="en-GB" w:eastAsia="en-GB"/>
              </w:rPr>
              <w:t>   Forms part of items 1-3</w:t>
            </w:r>
          </w:p>
        </w:tc>
      </w:tr>
      <w:tr w:rsidR="00472B85" w:rsidRPr="00B50967" w14:paraId="25A8526B" w14:textId="77777777" w:rsidTr="00D94007">
        <w:trPr>
          <w:trHeight w:val="283"/>
        </w:trPr>
        <w:tc>
          <w:tcPr>
            <w:tcW w:w="531" w:type="dxa"/>
            <w:tcBorders>
              <w:top w:val="nil"/>
              <w:left w:val="single" w:sz="4" w:space="0" w:color="auto"/>
              <w:bottom w:val="single" w:sz="4" w:space="0" w:color="auto"/>
              <w:right w:val="single" w:sz="4" w:space="0" w:color="auto"/>
            </w:tcBorders>
            <w:vAlign w:val="bottom"/>
            <w:hideMark/>
          </w:tcPr>
          <w:p w14:paraId="78C1EC11" w14:textId="77777777"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2</w:t>
            </w:r>
          </w:p>
        </w:tc>
        <w:tc>
          <w:tcPr>
            <w:tcW w:w="2604" w:type="dxa"/>
            <w:tcBorders>
              <w:top w:val="nil"/>
              <w:left w:val="nil"/>
              <w:bottom w:val="single" w:sz="4" w:space="0" w:color="auto"/>
              <w:right w:val="single" w:sz="4" w:space="0" w:color="auto"/>
            </w:tcBorders>
            <w:vAlign w:val="bottom"/>
            <w:hideMark/>
          </w:tcPr>
          <w:p w14:paraId="428A34BF" w14:textId="65B2FDC5" w:rsidR="00472B85" w:rsidRPr="00B50967" w:rsidRDefault="00472B85" w:rsidP="00D94007">
            <w:pPr>
              <w:jc w:val="both"/>
              <w:rPr>
                <w:rFonts w:eastAsia="Times New Roman" w:cstheme="minorHAnsi"/>
                <w:color w:val="000000"/>
                <w:sz w:val="20"/>
                <w:szCs w:val="20"/>
                <w:lang w:val="en-GB" w:eastAsia="en-GB"/>
              </w:rPr>
            </w:pPr>
            <w:r w:rsidRPr="00B50967">
              <w:rPr>
                <w:rFonts w:eastAsia="Times New Roman" w:cstheme="minorHAnsi"/>
                <w:color w:val="000000"/>
                <w:sz w:val="20"/>
                <w:szCs w:val="20"/>
                <w:lang w:val="en-GB" w:eastAsia="en-GB"/>
              </w:rPr>
              <w:t> </w:t>
            </w:r>
            <w:r>
              <w:rPr>
                <w:rFonts w:eastAsia="Times New Roman" w:cstheme="minorHAnsi"/>
                <w:color w:val="000000"/>
                <w:sz w:val="20"/>
                <w:szCs w:val="20"/>
                <w:lang w:val="en-GB" w:eastAsia="en-GB"/>
              </w:rPr>
              <w:t>Other creditors</w:t>
            </w:r>
          </w:p>
        </w:tc>
        <w:tc>
          <w:tcPr>
            <w:tcW w:w="2152" w:type="dxa"/>
            <w:tcBorders>
              <w:top w:val="nil"/>
              <w:left w:val="nil"/>
              <w:bottom w:val="single" w:sz="4" w:space="0" w:color="auto"/>
              <w:right w:val="single" w:sz="4" w:space="0" w:color="auto"/>
            </w:tcBorders>
            <w:vAlign w:val="bottom"/>
            <w:hideMark/>
          </w:tcPr>
          <w:p w14:paraId="4B1664DE" w14:textId="52EEFFF4" w:rsidR="00472B85" w:rsidRPr="00B50967" w:rsidRDefault="009D12C3" w:rsidP="00D94007">
            <w:pPr>
              <w:jc w:val="both"/>
              <w:rPr>
                <w:rFonts w:eastAsia="Times New Roman" w:cstheme="minorHAnsi"/>
                <w:color w:val="000000"/>
                <w:sz w:val="20"/>
                <w:szCs w:val="20"/>
                <w:lang w:val="en-GB" w:eastAsia="en-GB"/>
              </w:rPr>
            </w:pPr>
            <w:r>
              <w:rPr>
                <w:rFonts w:eastAsia="Times New Roman" w:cstheme="minorHAnsi"/>
                <w:color w:val="000000"/>
                <w:sz w:val="20"/>
                <w:szCs w:val="20"/>
                <w:lang w:val="en-GB" w:eastAsia="en-GB"/>
              </w:rPr>
              <w:t>8</w:t>
            </w:r>
            <w:r w:rsidR="007C63C4">
              <w:rPr>
                <w:rFonts w:eastAsia="Times New Roman" w:cstheme="minorHAnsi"/>
                <w:color w:val="000000"/>
                <w:sz w:val="20"/>
                <w:szCs w:val="20"/>
                <w:lang w:val="en-GB" w:eastAsia="en-GB"/>
              </w:rPr>
              <w:t>,</w:t>
            </w:r>
            <w:r>
              <w:rPr>
                <w:rFonts w:eastAsia="Times New Roman" w:cstheme="minorHAnsi"/>
                <w:color w:val="000000"/>
                <w:sz w:val="20"/>
                <w:szCs w:val="20"/>
                <w:lang w:val="en-GB" w:eastAsia="en-GB"/>
              </w:rPr>
              <w:t>56</w:t>
            </w:r>
            <w:r w:rsidR="00805ED2">
              <w:rPr>
                <w:rFonts w:eastAsia="Times New Roman" w:cstheme="minorHAnsi"/>
                <w:color w:val="000000"/>
                <w:sz w:val="20"/>
                <w:szCs w:val="20"/>
                <w:lang w:val="en-GB" w:eastAsia="en-GB"/>
              </w:rPr>
              <w:t>6</w:t>
            </w:r>
          </w:p>
        </w:tc>
        <w:tc>
          <w:tcPr>
            <w:tcW w:w="3213" w:type="dxa"/>
            <w:tcBorders>
              <w:top w:val="nil"/>
              <w:left w:val="nil"/>
              <w:bottom w:val="single" w:sz="4" w:space="0" w:color="auto"/>
              <w:right w:val="single" w:sz="4" w:space="0" w:color="auto"/>
            </w:tcBorders>
            <w:vAlign w:val="bottom"/>
            <w:hideMark/>
          </w:tcPr>
          <w:p w14:paraId="6D8BC242" w14:textId="5E72FC9B" w:rsidR="00472B85" w:rsidRPr="00037DB5" w:rsidRDefault="00472B85" w:rsidP="00D94007">
            <w:pPr>
              <w:jc w:val="both"/>
              <w:rPr>
                <w:rFonts w:eastAsia="Times New Roman" w:cstheme="minorHAnsi"/>
                <w:color w:val="000000"/>
                <w:sz w:val="20"/>
                <w:szCs w:val="20"/>
                <w:lang w:val="en-GB" w:eastAsia="en-GB"/>
              </w:rPr>
            </w:pPr>
            <w:r w:rsidRPr="00037DB5">
              <w:rPr>
                <w:rFonts w:eastAsia="Times New Roman" w:cstheme="minorHAnsi"/>
                <w:color w:val="000000"/>
                <w:sz w:val="20"/>
                <w:szCs w:val="20"/>
                <w:lang w:val="en-GB" w:eastAsia="en-GB"/>
              </w:rPr>
              <w:t>   Forms part of items 1-3</w:t>
            </w:r>
          </w:p>
        </w:tc>
      </w:tr>
      <w:tr w:rsidR="00472B85" w:rsidRPr="00B50967" w14:paraId="18D05E25" w14:textId="77777777" w:rsidTr="00D94007">
        <w:trPr>
          <w:trHeight w:val="283"/>
        </w:trPr>
        <w:tc>
          <w:tcPr>
            <w:tcW w:w="531" w:type="dxa"/>
            <w:tcBorders>
              <w:top w:val="nil"/>
              <w:left w:val="single" w:sz="4" w:space="0" w:color="auto"/>
              <w:bottom w:val="single" w:sz="4" w:space="0" w:color="auto"/>
              <w:right w:val="single" w:sz="4" w:space="0" w:color="auto"/>
            </w:tcBorders>
            <w:vAlign w:val="bottom"/>
            <w:hideMark/>
          </w:tcPr>
          <w:p w14:paraId="528D4990" w14:textId="431E136F" w:rsidR="00472B85" w:rsidRPr="00B21346" w:rsidRDefault="00472B85" w:rsidP="00D94007">
            <w:pPr>
              <w:jc w:val="both"/>
              <w:rPr>
                <w:rFonts w:eastAsia="Times New Roman" w:cstheme="minorHAnsi"/>
                <w:color w:val="000000"/>
                <w:lang w:val="en-GB" w:eastAsia="en-GB"/>
              </w:rPr>
            </w:pPr>
          </w:p>
        </w:tc>
        <w:tc>
          <w:tcPr>
            <w:tcW w:w="2604" w:type="dxa"/>
            <w:tcBorders>
              <w:top w:val="nil"/>
              <w:left w:val="nil"/>
              <w:bottom w:val="single" w:sz="4" w:space="0" w:color="auto"/>
              <w:right w:val="single" w:sz="4" w:space="0" w:color="auto"/>
            </w:tcBorders>
            <w:vAlign w:val="bottom"/>
            <w:hideMark/>
          </w:tcPr>
          <w:p w14:paraId="114BF687" w14:textId="77777777" w:rsidR="00472B85" w:rsidRPr="00B21346" w:rsidRDefault="00472B85" w:rsidP="00D94007">
            <w:pPr>
              <w:jc w:val="both"/>
              <w:rPr>
                <w:rFonts w:eastAsia="Times New Roman" w:cstheme="minorHAnsi"/>
                <w:b/>
                <w:bCs/>
                <w:color w:val="000000"/>
                <w:lang w:val="en-GB" w:eastAsia="en-GB"/>
              </w:rPr>
            </w:pPr>
            <w:r w:rsidRPr="00B21346">
              <w:rPr>
                <w:rFonts w:eastAsia="Times New Roman" w:cstheme="minorHAnsi"/>
                <w:b/>
                <w:bCs/>
                <w:color w:val="000000"/>
                <w:lang w:val="en-GB" w:eastAsia="en-GB"/>
              </w:rPr>
              <w:t>Total Liabilities</w:t>
            </w:r>
          </w:p>
        </w:tc>
        <w:tc>
          <w:tcPr>
            <w:tcW w:w="2152" w:type="dxa"/>
            <w:tcBorders>
              <w:top w:val="nil"/>
              <w:left w:val="nil"/>
              <w:bottom w:val="single" w:sz="4" w:space="0" w:color="auto"/>
              <w:right w:val="single" w:sz="4" w:space="0" w:color="auto"/>
            </w:tcBorders>
            <w:vAlign w:val="bottom"/>
            <w:hideMark/>
          </w:tcPr>
          <w:p w14:paraId="2A3D4B06" w14:textId="2647305C" w:rsidR="00472B85" w:rsidRPr="00B21346" w:rsidRDefault="009D12C3" w:rsidP="00D94007">
            <w:pPr>
              <w:jc w:val="both"/>
              <w:rPr>
                <w:rFonts w:eastAsia="Times New Roman" w:cstheme="minorHAnsi"/>
                <w:color w:val="000000"/>
                <w:lang w:val="en-GB" w:eastAsia="en-GB"/>
              </w:rPr>
            </w:pPr>
            <w:r>
              <w:rPr>
                <w:rFonts w:eastAsia="Times New Roman" w:cstheme="minorHAnsi"/>
                <w:color w:val="000000"/>
                <w:lang w:val="en-GB" w:eastAsia="en-GB"/>
              </w:rPr>
              <w:t>8</w:t>
            </w:r>
            <w:r w:rsidR="007C63C4">
              <w:rPr>
                <w:rFonts w:eastAsia="Times New Roman" w:cstheme="minorHAnsi"/>
                <w:color w:val="000000"/>
                <w:lang w:val="en-GB" w:eastAsia="en-GB"/>
              </w:rPr>
              <w:t>,</w:t>
            </w:r>
            <w:r>
              <w:rPr>
                <w:rFonts w:eastAsia="Times New Roman" w:cstheme="minorHAnsi"/>
                <w:color w:val="000000"/>
                <w:lang w:val="en-GB" w:eastAsia="en-GB"/>
              </w:rPr>
              <w:t>56</w:t>
            </w:r>
            <w:r w:rsidR="00805ED2">
              <w:rPr>
                <w:rFonts w:eastAsia="Times New Roman" w:cstheme="minorHAnsi"/>
                <w:color w:val="000000"/>
                <w:lang w:val="en-GB" w:eastAsia="en-GB"/>
              </w:rPr>
              <w:t>6</w:t>
            </w:r>
          </w:p>
        </w:tc>
        <w:tc>
          <w:tcPr>
            <w:tcW w:w="3213" w:type="dxa"/>
            <w:tcBorders>
              <w:top w:val="nil"/>
              <w:left w:val="nil"/>
              <w:bottom w:val="single" w:sz="4" w:space="0" w:color="auto"/>
              <w:right w:val="single" w:sz="4" w:space="0" w:color="auto"/>
            </w:tcBorders>
            <w:vAlign w:val="bottom"/>
            <w:hideMark/>
          </w:tcPr>
          <w:p w14:paraId="542E8C7C" w14:textId="581E7EBC" w:rsidR="00472B85" w:rsidRPr="00037DB5" w:rsidRDefault="00472B85" w:rsidP="00D94007">
            <w:pPr>
              <w:jc w:val="both"/>
              <w:rPr>
                <w:rFonts w:eastAsia="Times New Roman" w:cstheme="minorHAnsi"/>
                <w:color w:val="000000"/>
                <w:lang w:val="en-GB" w:eastAsia="en-GB"/>
              </w:rPr>
            </w:pPr>
            <w:r w:rsidRPr="00037DB5">
              <w:rPr>
                <w:rFonts w:eastAsia="Times New Roman" w:cstheme="minorHAnsi"/>
                <w:color w:val="000000"/>
                <w:lang w:val="en-GB" w:eastAsia="en-GB"/>
              </w:rPr>
              <w:t> </w:t>
            </w:r>
            <w:r w:rsidRPr="00037DB5">
              <w:rPr>
                <w:rFonts w:eastAsia="Times New Roman" w:cstheme="minorHAnsi"/>
                <w:color w:val="000000"/>
                <w:sz w:val="20"/>
                <w:szCs w:val="20"/>
                <w:lang w:val="en-GB" w:eastAsia="en-GB"/>
              </w:rPr>
              <w:t xml:space="preserve">  Forms part of items 1-3</w:t>
            </w:r>
          </w:p>
        </w:tc>
      </w:tr>
      <w:tr w:rsidR="00472B85" w:rsidRPr="00B50967" w14:paraId="31AD811F" w14:textId="77777777" w:rsidTr="00D94007">
        <w:trPr>
          <w:trHeight w:val="283"/>
        </w:trPr>
        <w:tc>
          <w:tcPr>
            <w:tcW w:w="531" w:type="dxa"/>
            <w:tcBorders>
              <w:top w:val="nil"/>
              <w:left w:val="single" w:sz="4" w:space="0" w:color="auto"/>
              <w:bottom w:val="single" w:sz="4" w:space="0" w:color="auto"/>
              <w:right w:val="single" w:sz="4" w:space="0" w:color="auto"/>
            </w:tcBorders>
            <w:vAlign w:val="bottom"/>
            <w:hideMark/>
          </w:tcPr>
          <w:p w14:paraId="39758E25" w14:textId="77777777"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1</w:t>
            </w:r>
          </w:p>
        </w:tc>
        <w:tc>
          <w:tcPr>
            <w:tcW w:w="2604" w:type="dxa"/>
            <w:tcBorders>
              <w:top w:val="nil"/>
              <w:left w:val="nil"/>
              <w:bottom w:val="single" w:sz="4" w:space="0" w:color="auto"/>
              <w:right w:val="single" w:sz="4" w:space="0" w:color="auto"/>
            </w:tcBorders>
            <w:vAlign w:val="bottom"/>
            <w:hideMark/>
          </w:tcPr>
          <w:p w14:paraId="6DDAFCDA" w14:textId="212BAC33"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 </w:t>
            </w:r>
            <w:r>
              <w:rPr>
                <w:rFonts w:eastAsia="Times New Roman" w:cstheme="minorHAnsi"/>
                <w:color w:val="000000"/>
                <w:lang w:val="en-GB" w:eastAsia="en-GB"/>
              </w:rPr>
              <w:t>Called up share capital</w:t>
            </w:r>
          </w:p>
        </w:tc>
        <w:tc>
          <w:tcPr>
            <w:tcW w:w="2152" w:type="dxa"/>
            <w:tcBorders>
              <w:top w:val="nil"/>
              <w:left w:val="nil"/>
              <w:bottom w:val="single" w:sz="4" w:space="0" w:color="auto"/>
              <w:right w:val="single" w:sz="4" w:space="0" w:color="auto"/>
            </w:tcBorders>
            <w:vAlign w:val="bottom"/>
            <w:hideMark/>
          </w:tcPr>
          <w:p w14:paraId="0523281E" w14:textId="5DC2E1F5" w:rsidR="00472B85" w:rsidRPr="00B21346" w:rsidRDefault="00472B85" w:rsidP="00D94007">
            <w:pPr>
              <w:jc w:val="both"/>
              <w:rPr>
                <w:rFonts w:eastAsia="Times New Roman" w:cstheme="minorHAnsi"/>
                <w:color w:val="000000"/>
                <w:lang w:val="en-GB" w:eastAsia="en-GB"/>
              </w:rPr>
            </w:pPr>
            <w:r>
              <w:rPr>
                <w:rFonts w:eastAsia="Times New Roman" w:cstheme="minorHAnsi"/>
                <w:color w:val="000000"/>
                <w:lang w:val="en-GB" w:eastAsia="en-GB"/>
              </w:rPr>
              <w:t>625</w:t>
            </w:r>
            <w:r w:rsidRPr="00B21346">
              <w:rPr>
                <w:rFonts w:eastAsia="Times New Roman" w:cstheme="minorHAnsi"/>
                <w:color w:val="000000"/>
                <w:lang w:val="en-GB" w:eastAsia="en-GB"/>
              </w:rPr>
              <w:t> </w:t>
            </w:r>
          </w:p>
        </w:tc>
        <w:tc>
          <w:tcPr>
            <w:tcW w:w="3213" w:type="dxa"/>
            <w:tcBorders>
              <w:top w:val="nil"/>
              <w:left w:val="nil"/>
              <w:bottom w:val="single" w:sz="4" w:space="0" w:color="auto"/>
              <w:right w:val="single" w:sz="4" w:space="0" w:color="auto"/>
            </w:tcBorders>
            <w:vAlign w:val="bottom"/>
            <w:hideMark/>
          </w:tcPr>
          <w:p w14:paraId="5161D822" w14:textId="4CB8FF03" w:rsidR="00472B85" w:rsidRPr="00037DB5" w:rsidRDefault="00472B85" w:rsidP="00D94007">
            <w:pPr>
              <w:jc w:val="both"/>
              <w:rPr>
                <w:rFonts w:eastAsia="Times New Roman" w:cstheme="minorHAnsi"/>
                <w:color w:val="000000"/>
                <w:lang w:val="en-GB" w:eastAsia="en-GB"/>
              </w:rPr>
            </w:pPr>
            <w:r w:rsidRPr="00037DB5">
              <w:rPr>
                <w:rFonts w:eastAsia="Times New Roman" w:cstheme="minorHAnsi"/>
                <w:color w:val="000000"/>
                <w:lang w:val="en-GB" w:eastAsia="en-GB"/>
              </w:rPr>
              <w:t> Item 4</w:t>
            </w:r>
          </w:p>
        </w:tc>
      </w:tr>
      <w:tr w:rsidR="00472B85" w:rsidRPr="00B50967" w14:paraId="424CE64B" w14:textId="77777777" w:rsidTr="00D94007">
        <w:trPr>
          <w:trHeight w:val="283"/>
        </w:trPr>
        <w:tc>
          <w:tcPr>
            <w:tcW w:w="531" w:type="dxa"/>
            <w:tcBorders>
              <w:top w:val="nil"/>
              <w:left w:val="single" w:sz="4" w:space="0" w:color="auto"/>
              <w:bottom w:val="single" w:sz="4" w:space="0" w:color="auto"/>
              <w:right w:val="single" w:sz="4" w:space="0" w:color="auto"/>
            </w:tcBorders>
            <w:vAlign w:val="bottom"/>
            <w:hideMark/>
          </w:tcPr>
          <w:p w14:paraId="683F43E6" w14:textId="77777777"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2</w:t>
            </w:r>
          </w:p>
        </w:tc>
        <w:tc>
          <w:tcPr>
            <w:tcW w:w="2604" w:type="dxa"/>
            <w:tcBorders>
              <w:top w:val="nil"/>
              <w:left w:val="nil"/>
              <w:bottom w:val="single" w:sz="4" w:space="0" w:color="auto"/>
              <w:right w:val="single" w:sz="4" w:space="0" w:color="auto"/>
            </w:tcBorders>
            <w:vAlign w:val="bottom"/>
            <w:hideMark/>
          </w:tcPr>
          <w:p w14:paraId="5E1CACE3" w14:textId="35B9DD00"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 </w:t>
            </w:r>
            <w:r>
              <w:rPr>
                <w:rFonts w:eastAsia="Times New Roman" w:cstheme="minorHAnsi"/>
                <w:color w:val="000000"/>
                <w:lang w:val="en-GB" w:eastAsia="en-GB"/>
              </w:rPr>
              <w:t>Share premium</w:t>
            </w:r>
          </w:p>
        </w:tc>
        <w:tc>
          <w:tcPr>
            <w:tcW w:w="2152" w:type="dxa"/>
            <w:tcBorders>
              <w:top w:val="nil"/>
              <w:left w:val="nil"/>
              <w:bottom w:val="single" w:sz="4" w:space="0" w:color="auto"/>
              <w:right w:val="single" w:sz="4" w:space="0" w:color="auto"/>
            </w:tcBorders>
            <w:vAlign w:val="bottom"/>
            <w:hideMark/>
          </w:tcPr>
          <w:p w14:paraId="0D21749B" w14:textId="53EBE747" w:rsidR="00472B85" w:rsidRPr="00B21346" w:rsidRDefault="009D12C3" w:rsidP="00D94007">
            <w:pPr>
              <w:jc w:val="both"/>
              <w:rPr>
                <w:rFonts w:eastAsia="Times New Roman" w:cstheme="minorHAnsi"/>
                <w:color w:val="000000"/>
                <w:lang w:val="en-GB" w:eastAsia="en-GB"/>
              </w:rPr>
            </w:pPr>
            <w:r>
              <w:rPr>
                <w:rFonts w:eastAsia="Times New Roman" w:cstheme="minorHAnsi"/>
                <w:color w:val="000000"/>
                <w:lang w:val="en-GB" w:eastAsia="en-GB"/>
              </w:rPr>
              <w:t>10</w:t>
            </w:r>
            <w:r w:rsidR="00472B85">
              <w:rPr>
                <w:rFonts w:eastAsia="Times New Roman" w:cstheme="minorHAnsi"/>
                <w:color w:val="000000"/>
                <w:lang w:val="en-GB" w:eastAsia="en-GB"/>
              </w:rPr>
              <w:t>,</w:t>
            </w:r>
            <w:r>
              <w:rPr>
                <w:rFonts w:eastAsia="Times New Roman" w:cstheme="minorHAnsi"/>
                <w:color w:val="000000"/>
                <w:lang w:val="en-GB" w:eastAsia="en-GB"/>
              </w:rPr>
              <w:t>656</w:t>
            </w:r>
            <w:r w:rsidR="00472B85" w:rsidRPr="00B21346">
              <w:rPr>
                <w:rFonts w:eastAsia="Times New Roman" w:cstheme="minorHAnsi"/>
                <w:color w:val="000000"/>
                <w:lang w:val="en-GB" w:eastAsia="en-GB"/>
              </w:rPr>
              <w:t> </w:t>
            </w:r>
          </w:p>
        </w:tc>
        <w:tc>
          <w:tcPr>
            <w:tcW w:w="3213" w:type="dxa"/>
            <w:tcBorders>
              <w:top w:val="nil"/>
              <w:left w:val="nil"/>
              <w:bottom w:val="single" w:sz="4" w:space="0" w:color="auto"/>
              <w:right w:val="single" w:sz="4" w:space="0" w:color="auto"/>
            </w:tcBorders>
            <w:vAlign w:val="bottom"/>
            <w:hideMark/>
          </w:tcPr>
          <w:p w14:paraId="5D6D39BD" w14:textId="21739F57" w:rsidR="00472B85" w:rsidRPr="00037DB5" w:rsidRDefault="00472B85" w:rsidP="00D94007">
            <w:pPr>
              <w:jc w:val="both"/>
              <w:rPr>
                <w:rFonts w:eastAsia="Times New Roman" w:cstheme="minorHAnsi"/>
                <w:color w:val="000000"/>
                <w:lang w:val="en-GB" w:eastAsia="en-GB"/>
              </w:rPr>
            </w:pPr>
            <w:r w:rsidRPr="00037DB5">
              <w:rPr>
                <w:rFonts w:eastAsia="Times New Roman" w:cstheme="minorHAnsi"/>
                <w:color w:val="000000"/>
                <w:lang w:val="en-GB" w:eastAsia="en-GB"/>
              </w:rPr>
              <w:t> Item 5</w:t>
            </w:r>
          </w:p>
        </w:tc>
      </w:tr>
      <w:tr w:rsidR="00472B85" w:rsidRPr="00B50967" w14:paraId="093D17A2" w14:textId="77777777" w:rsidTr="00535C92">
        <w:trPr>
          <w:trHeight w:val="283"/>
        </w:trPr>
        <w:tc>
          <w:tcPr>
            <w:tcW w:w="531" w:type="dxa"/>
            <w:tcBorders>
              <w:top w:val="nil"/>
              <w:left w:val="single" w:sz="4" w:space="0" w:color="auto"/>
              <w:bottom w:val="single" w:sz="4" w:space="0" w:color="auto"/>
              <w:right w:val="single" w:sz="4" w:space="0" w:color="auto"/>
            </w:tcBorders>
            <w:vAlign w:val="bottom"/>
            <w:hideMark/>
          </w:tcPr>
          <w:p w14:paraId="1B2BB4E6" w14:textId="77777777"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3</w:t>
            </w:r>
          </w:p>
        </w:tc>
        <w:tc>
          <w:tcPr>
            <w:tcW w:w="2604" w:type="dxa"/>
            <w:tcBorders>
              <w:top w:val="nil"/>
              <w:left w:val="nil"/>
              <w:bottom w:val="single" w:sz="4" w:space="0" w:color="auto"/>
              <w:right w:val="single" w:sz="4" w:space="0" w:color="auto"/>
            </w:tcBorders>
            <w:vAlign w:val="bottom"/>
            <w:hideMark/>
          </w:tcPr>
          <w:p w14:paraId="76C79360" w14:textId="2CFD532E"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 </w:t>
            </w:r>
            <w:r>
              <w:rPr>
                <w:rFonts w:eastAsia="Times New Roman" w:cstheme="minorHAnsi"/>
                <w:color w:val="000000"/>
                <w:lang w:val="en-GB" w:eastAsia="en-GB"/>
              </w:rPr>
              <w:t>Retained earnings</w:t>
            </w:r>
          </w:p>
        </w:tc>
        <w:tc>
          <w:tcPr>
            <w:tcW w:w="2152" w:type="dxa"/>
            <w:tcBorders>
              <w:top w:val="nil"/>
              <w:left w:val="nil"/>
              <w:bottom w:val="single" w:sz="4" w:space="0" w:color="auto"/>
              <w:right w:val="single" w:sz="4" w:space="0" w:color="auto"/>
            </w:tcBorders>
            <w:vAlign w:val="bottom"/>
          </w:tcPr>
          <w:p w14:paraId="616DB013" w14:textId="590F9D37" w:rsidR="00472B85" w:rsidRPr="00B21346" w:rsidRDefault="009D12C3" w:rsidP="00D94007">
            <w:pPr>
              <w:jc w:val="both"/>
              <w:rPr>
                <w:rFonts w:eastAsia="Times New Roman" w:cstheme="minorHAnsi"/>
                <w:color w:val="000000"/>
                <w:lang w:val="en-GB" w:eastAsia="en-GB"/>
              </w:rPr>
            </w:pPr>
            <w:r>
              <w:rPr>
                <w:rFonts w:eastAsia="Times New Roman" w:cstheme="minorHAnsi"/>
                <w:color w:val="000000"/>
                <w:lang w:val="en-GB" w:eastAsia="en-GB"/>
              </w:rPr>
              <w:t>3,401</w:t>
            </w:r>
          </w:p>
        </w:tc>
        <w:tc>
          <w:tcPr>
            <w:tcW w:w="3213" w:type="dxa"/>
            <w:tcBorders>
              <w:top w:val="nil"/>
              <w:left w:val="nil"/>
              <w:bottom w:val="single" w:sz="4" w:space="0" w:color="auto"/>
              <w:right w:val="single" w:sz="4" w:space="0" w:color="auto"/>
            </w:tcBorders>
            <w:vAlign w:val="bottom"/>
            <w:hideMark/>
          </w:tcPr>
          <w:p w14:paraId="12B37285" w14:textId="719CC351" w:rsidR="00472B85" w:rsidRPr="00037DB5" w:rsidRDefault="00472B85" w:rsidP="00D94007">
            <w:pPr>
              <w:jc w:val="both"/>
              <w:rPr>
                <w:rFonts w:eastAsia="Times New Roman" w:cstheme="minorHAnsi"/>
                <w:color w:val="000000"/>
                <w:lang w:val="en-GB" w:eastAsia="en-GB"/>
              </w:rPr>
            </w:pPr>
            <w:r w:rsidRPr="00037DB5">
              <w:rPr>
                <w:rFonts w:eastAsia="Times New Roman" w:cstheme="minorHAnsi"/>
                <w:color w:val="000000"/>
                <w:lang w:val="en-GB" w:eastAsia="en-GB"/>
              </w:rPr>
              <w:t> Item 6</w:t>
            </w:r>
          </w:p>
        </w:tc>
      </w:tr>
      <w:tr w:rsidR="00472B85" w:rsidRPr="00B50967" w14:paraId="715D4B6E" w14:textId="77777777" w:rsidTr="00D94007">
        <w:trPr>
          <w:trHeight w:val="568"/>
        </w:trPr>
        <w:tc>
          <w:tcPr>
            <w:tcW w:w="531" w:type="dxa"/>
            <w:tcBorders>
              <w:top w:val="nil"/>
              <w:left w:val="single" w:sz="4" w:space="0" w:color="auto"/>
              <w:bottom w:val="single" w:sz="4" w:space="0" w:color="auto"/>
              <w:right w:val="single" w:sz="4" w:space="0" w:color="auto"/>
            </w:tcBorders>
            <w:vAlign w:val="bottom"/>
            <w:hideMark/>
          </w:tcPr>
          <w:p w14:paraId="7EBFBC40" w14:textId="7C5A0A4A" w:rsidR="00472B85" w:rsidRPr="00B21346" w:rsidRDefault="00472B85" w:rsidP="00D94007">
            <w:pPr>
              <w:jc w:val="both"/>
              <w:rPr>
                <w:rFonts w:eastAsia="Times New Roman" w:cstheme="minorHAnsi"/>
                <w:color w:val="000000"/>
                <w:lang w:val="en-GB" w:eastAsia="en-GB"/>
              </w:rPr>
            </w:pPr>
          </w:p>
        </w:tc>
        <w:tc>
          <w:tcPr>
            <w:tcW w:w="2604" w:type="dxa"/>
            <w:tcBorders>
              <w:top w:val="nil"/>
              <w:left w:val="nil"/>
              <w:bottom w:val="single" w:sz="4" w:space="0" w:color="auto"/>
              <w:right w:val="single" w:sz="4" w:space="0" w:color="auto"/>
            </w:tcBorders>
            <w:vAlign w:val="bottom"/>
            <w:hideMark/>
          </w:tcPr>
          <w:p w14:paraId="1CA5EE05" w14:textId="77777777" w:rsidR="00472B85" w:rsidRPr="00B21346" w:rsidRDefault="00472B85" w:rsidP="00D94007">
            <w:pPr>
              <w:jc w:val="both"/>
              <w:rPr>
                <w:rFonts w:eastAsia="Times New Roman" w:cstheme="minorHAnsi"/>
                <w:b/>
                <w:bCs/>
                <w:color w:val="000000"/>
                <w:lang w:val="en-GB" w:eastAsia="en-GB"/>
              </w:rPr>
            </w:pPr>
            <w:r w:rsidRPr="00B21346">
              <w:rPr>
                <w:rFonts w:eastAsia="Times New Roman" w:cstheme="minorHAnsi"/>
                <w:b/>
                <w:bCs/>
                <w:color w:val="000000"/>
                <w:lang w:val="en-GB" w:eastAsia="en-GB"/>
              </w:rPr>
              <w:t>Total Shareholders' Equity</w:t>
            </w:r>
          </w:p>
        </w:tc>
        <w:tc>
          <w:tcPr>
            <w:tcW w:w="2152" w:type="dxa"/>
            <w:tcBorders>
              <w:top w:val="nil"/>
              <w:left w:val="nil"/>
              <w:bottom w:val="single" w:sz="4" w:space="0" w:color="auto"/>
              <w:right w:val="single" w:sz="4" w:space="0" w:color="auto"/>
            </w:tcBorders>
            <w:vAlign w:val="bottom"/>
            <w:hideMark/>
          </w:tcPr>
          <w:p w14:paraId="24A8F894" w14:textId="470F3A38" w:rsidR="00472B85" w:rsidRPr="00B21346" w:rsidRDefault="00472B85" w:rsidP="00D94007">
            <w:pPr>
              <w:jc w:val="both"/>
              <w:rPr>
                <w:rFonts w:eastAsia="Times New Roman" w:cstheme="minorHAnsi"/>
                <w:color w:val="000000"/>
                <w:lang w:val="en-GB" w:eastAsia="en-GB"/>
              </w:rPr>
            </w:pPr>
            <w:r w:rsidRPr="00B21346">
              <w:rPr>
                <w:rFonts w:eastAsia="Times New Roman" w:cstheme="minorHAnsi"/>
                <w:color w:val="000000"/>
                <w:lang w:val="en-GB" w:eastAsia="en-GB"/>
              </w:rPr>
              <w:t> </w:t>
            </w:r>
            <w:r w:rsidR="007C63C4">
              <w:rPr>
                <w:rFonts w:eastAsia="Times New Roman" w:cstheme="minorHAnsi"/>
                <w:color w:val="000000"/>
                <w:lang w:val="en-GB" w:eastAsia="en-GB"/>
              </w:rPr>
              <w:t>14,</w:t>
            </w:r>
            <w:r w:rsidR="009D12C3">
              <w:rPr>
                <w:rFonts w:eastAsia="Times New Roman" w:cstheme="minorHAnsi"/>
                <w:color w:val="000000"/>
                <w:lang w:val="en-GB" w:eastAsia="en-GB"/>
              </w:rPr>
              <w:t>682</w:t>
            </w:r>
          </w:p>
        </w:tc>
        <w:tc>
          <w:tcPr>
            <w:tcW w:w="3213" w:type="dxa"/>
            <w:tcBorders>
              <w:top w:val="nil"/>
              <w:left w:val="nil"/>
              <w:bottom w:val="single" w:sz="4" w:space="0" w:color="auto"/>
              <w:right w:val="single" w:sz="4" w:space="0" w:color="auto"/>
            </w:tcBorders>
            <w:vAlign w:val="bottom"/>
            <w:hideMark/>
          </w:tcPr>
          <w:p w14:paraId="38C17975" w14:textId="46B415D6" w:rsidR="00472B85" w:rsidRPr="00037DB5" w:rsidRDefault="00472B85" w:rsidP="00D94007">
            <w:pPr>
              <w:jc w:val="both"/>
              <w:rPr>
                <w:rFonts w:eastAsia="Times New Roman" w:cstheme="minorHAnsi"/>
                <w:color w:val="000000"/>
                <w:lang w:val="en-GB" w:eastAsia="en-GB"/>
              </w:rPr>
            </w:pPr>
            <w:r w:rsidRPr="00037DB5">
              <w:rPr>
                <w:rFonts w:eastAsia="Times New Roman" w:cstheme="minorHAnsi"/>
                <w:color w:val="000000"/>
                <w:lang w:val="en-GB" w:eastAsia="en-GB"/>
              </w:rPr>
              <w:t> Items 4-6</w:t>
            </w:r>
          </w:p>
        </w:tc>
      </w:tr>
    </w:tbl>
    <w:p w14:paraId="23239CAB" w14:textId="1A092AA8" w:rsidR="00EF25FE" w:rsidRPr="00B50967" w:rsidRDefault="00EF25FE" w:rsidP="00EF25FE">
      <w:pPr>
        <w:jc w:val="both"/>
        <w:rPr>
          <w:rFonts w:asciiTheme="majorHAnsi" w:hAnsiTheme="majorHAnsi" w:cstheme="majorHAnsi"/>
          <w:sz w:val="20"/>
          <w:szCs w:val="20"/>
          <w:lang w:val="en-GB"/>
        </w:rPr>
        <w:sectPr w:rsidR="00EF25FE" w:rsidRPr="00B50967">
          <w:pgSz w:w="12240" w:h="15840"/>
          <w:pgMar w:top="1440" w:right="1440" w:bottom="1440" w:left="1440" w:header="720" w:footer="720" w:gutter="0"/>
          <w:cols w:space="720"/>
          <w:docGrid w:linePitch="360"/>
        </w:sectPr>
      </w:pPr>
    </w:p>
    <w:tbl>
      <w:tblPr>
        <w:tblpPr w:leftFromText="180" w:rightFromText="180" w:vertAnchor="text" w:horzAnchor="margin" w:tblpY="337"/>
        <w:tblW w:w="9913" w:type="dxa"/>
        <w:tblLook w:val="04A0" w:firstRow="1" w:lastRow="0" w:firstColumn="1" w:lastColumn="0" w:noHBand="0" w:noVBand="1"/>
      </w:tblPr>
      <w:tblGrid>
        <w:gridCol w:w="9913"/>
      </w:tblGrid>
      <w:tr w:rsidR="00EF25FE" w:rsidRPr="00B50967" w14:paraId="72742959" w14:textId="77777777" w:rsidTr="00D94007">
        <w:trPr>
          <w:trHeight w:val="335"/>
        </w:trPr>
        <w:tc>
          <w:tcPr>
            <w:tcW w:w="9913"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283E2091" w14:textId="77777777" w:rsidR="00EF25FE" w:rsidRPr="00B21346" w:rsidRDefault="00EF25FE" w:rsidP="00D94007">
            <w:pPr>
              <w:jc w:val="both"/>
              <w:rPr>
                <w:rFonts w:ascii="Arial" w:eastAsia="Times New Roman" w:hAnsi="Arial" w:cs="Arial"/>
                <w:b/>
                <w:bCs/>
                <w:color w:val="000000"/>
                <w:lang w:val="en-GB" w:eastAsia="en-GB"/>
              </w:rPr>
            </w:pPr>
            <w:r w:rsidRPr="00B21346">
              <w:rPr>
                <w:rFonts w:ascii="Arial" w:eastAsia="Times New Roman" w:hAnsi="Arial" w:cs="Arial"/>
                <w:b/>
                <w:bCs/>
                <w:color w:val="FFFFFF" w:themeColor="background1"/>
                <w:lang w:val="en-GB" w:eastAsia="en-GB"/>
              </w:rPr>
              <w:lastRenderedPageBreak/>
              <w:t>Own Funds: Main Features of Own Instruments Issued by the Firm</w:t>
            </w:r>
          </w:p>
        </w:tc>
      </w:tr>
      <w:tr w:rsidR="00EF25FE" w:rsidRPr="00B50967" w14:paraId="11579AE2" w14:textId="77777777" w:rsidTr="00D94007">
        <w:trPr>
          <w:trHeight w:val="666"/>
        </w:trPr>
        <w:tc>
          <w:tcPr>
            <w:tcW w:w="9913" w:type="dxa"/>
            <w:tcBorders>
              <w:top w:val="single" w:sz="4" w:space="0" w:color="auto"/>
              <w:left w:val="single" w:sz="4" w:space="0" w:color="auto"/>
              <w:bottom w:val="single" w:sz="4" w:space="0" w:color="auto"/>
              <w:right w:val="single" w:sz="4" w:space="0" w:color="auto"/>
            </w:tcBorders>
            <w:noWrap/>
            <w:vAlign w:val="bottom"/>
            <w:hideMark/>
          </w:tcPr>
          <w:p w14:paraId="6D6330E4" w14:textId="3C3B25D4" w:rsidR="00EF25FE" w:rsidRPr="00B21346" w:rsidRDefault="00531412" w:rsidP="00D94007">
            <w:pPr>
              <w:jc w:val="both"/>
              <w:rPr>
                <w:rFonts w:ascii="Arial" w:eastAsia="Times New Roman" w:hAnsi="Arial" w:cs="Arial"/>
                <w:color w:val="000000"/>
                <w:lang w:val="en-GB" w:eastAsia="en-GB"/>
              </w:rPr>
            </w:pPr>
            <w:r>
              <w:rPr>
                <w:rFonts w:ascii="Arial" w:eastAsia="Times New Roman" w:hAnsi="Arial" w:cs="Arial"/>
                <w:color w:val="000000"/>
                <w:lang w:val="en-GB" w:eastAsia="en-GB"/>
              </w:rPr>
              <w:t>MS A</w:t>
            </w:r>
            <w:r w:rsidR="00F75DD0">
              <w:rPr>
                <w:rFonts w:ascii="Arial" w:eastAsia="Times New Roman" w:hAnsi="Arial" w:cs="Arial"/>
                <w:color w:val="000000"/>
                <w:lang w:val="en-GB" w:eastAsia="en-GB"/>
              </w:rPr>
              <w:t>IML</w:t>
            </w:r>
            <w:r w:rsidR="00EF25FE" w:rsidRPr="00B21346">
              <w:rPr>
                <w:rFonts w:ascii="Arial" w:eastAsia="Times New Roman" w:hAnsi="Arial" w:cs="Arial"/>
                <w:color w:val="000000"/>
                <w:lang w:val="en-GB" w:eastAsia="en-GB"/>
              </w:rPr>
              <w:t>’s own funds consist of common equity tier 1 capital</w:t>
            </w:r>
            <w:r w:rsidR="00426573">
              <w:rPr>
                <w:rFonts w:ascii="Arial" w:eastAsia="Times New Roman" w:hAnsi="Arial" w:cs="Arial"/>
                <w:color w:val="000000"/>
                <w:lang w:val="en-GB" w:eastAsia="en-GB"/>
              </w:rPr>
              <w:t xml:space="preserve">, which is made of issued share capital. </w:t>
            </w:r>
          </w:p>
        </w:tc>
      </w:tr>
    </w:tbl>
    <w:p w14:paraId="6A005DEE" w14:textId="77777777" w:rsidR="00EF25FE" w:rsidRPr="00B50967" w:rsidRDefault="00EF25FE" w:rsidP="00EF25FE">
      <w:pPr>
        <w:jc w:val="both"/>
        <w:rPr>
          <w:rFonts w:asciiTheme="majorHAnsi" w:hAnsiTheme="majorHAnsi" w:cstheme="majorHAnsi"/>
          <w:sz w:val="20"/>
          <w:szCs w:val="20"/>
          <w:lang w:val="en-GB"/>
        </w:rPr>
        <w:sectPr w:rsidR="00EF25FE" w:rsidRPr="00B50967">
          <w:pgSz w:w="12240" w:h="15840"/>
          <w:pgMar w:top="1440" w:right="1440" w:bottom="1440" w:left="1440" w:header="720" w:footer="720" w:gutter="0"/>
          <w:cols w:space="720"/>
          <w:docGrid w:linePitch="360"/>
        </w:sectPr>
      </w:pPr>
    </w:p>
    <w:p w14:paraId="2B20619B" w14:textId="22EEDB3C" w:rsidR="00EF25FE" w:rsidRPr="00245D0D" w:rsidRDefault="00EF25FE" w:rsidP="00F501B4">
      <w:pPr>
        <w:pStyle w:val="Heading3"/>
        <w:rPr>
          <w:rFonts w:ascii="Arial" w:eastAsia="Times New Roman" w:hAnsi="Arial" w:cs="Times New Roman"/>
          <w:b/>
          <w:bCs/>
          <w:i w:val="0"/>
          <w:iCs w:val="0"/>
          <w:color w:val="000000"/>
          <w:sz w:val="32"/>
          <w:szCs w:val="26"/>
          <w:lang w:val="en-GB" w:eastAsia="en-GB"/>
        </w:rPr>
      </w:pPr>
      <w:r w:rsidRPr="00245D0D">
        <w:rPr>
          <w:rFonts w:ascii="Arial" w:eastAsia="Times New Roman" w:hAnsi="Arial" w:cs="Times New Roman"/>
          <w:b/>
          <w:bCs/>
          <w:i w:val="0"/>
          <w:iCs w:val="0"/>
          <w:color w:val="000000"/>
          <w:sz w:val="32"/>
          <w:szCs w:val="26"/>
          <w:lang w:val="en-GB" w:eastAsia="en-GB"/>
        </w:rPr>
        <w:lastRenderedPageBreak/>
        <w:t>Own Funds Requirements</w:t>
      </w:r>
    </w:p>
    <w:p w14:paraId="144D519A" w14:textId="442705D0" w:rsidR="00EF25FE" w:rsidRPr="000E6F2B" w:rsidRDefault="00531412" w:rsidP="00EF25FE">
      <w:pPr>
        <w:jc w:val="both"/>
        <w:rPr>
          <w:lang w:val="en-GB" w:eastAsia="en-GB"/>
        </w:rPr>
      </w:pPr>
      <w:r>
        <w:rPr>
          <w:lang w:val="en-GB" w:eastAsia="en-GB"/>
        </w:rPr>
        <w:t>MS A</w:t>
      </w:r>
      <w:r w:rsidR="00F75DD0">
        <w:rPr>
          <w:lang w:val="en-GB" w:eastAsia="en-GB"/>
        </w:rPr>
        <w:t>IML</w:t>
      </w:r>
      <w:r w:rsidR="00EF25FE" w:rsidRPr="000E6F2B">
        <w:rPr>
          <w:lang w:val="en-GB" w:eastAsia="en-GB"/>
        </w:rPr>
        <w:t xml:space="preserve"> is required to at all times maintain own funds that are at least equal to the Firm’s own funds requirement. The own funds requirement is the minimum requirement of capital the Firm is required to hold, taken as the higher of the PMR and FOR.</w:t>
      </w:r>
    </w:p>
    <w:p w14:paraId="75402FB3" w14:textId="2816E790" w:rsidR="00EF25FE" w:rsidRPr="000E6F2B" w:rsidRDefault="00EF25FE" w:rsidP="00EF25FE">
      <w:pPr>
        <w:jc w:val="both"/>
        <w:rPr>
          <w:lang w:val="en-GB" w:eastAsia="en-GB"/>
        </w:rPr>
      </w:pPr>
      <w:r w:rsidRPr="000E6F2B">
        <w:rPr>
          <w:lang w:val="en-GB" w:eastAsia="en-GB"/>
        </w:rPr>
        <w:t xml:space="preserve">The below illustrates the core components of </w:t>
      </w:r>
      <w:r w:rsidR="00531412">
        <w:rPr>
          <w:lang w:val="en-GB" w:eastAsia="en-GB"/>
        </w:rPr>
        <w:t>MS A</w:t>
      </w:r>
      <w:r w:rsidR="00F75DD0">
        <w:rPr>
          <w:lang w:val="en-GB" w:eastAsia="en-GB"/>
        </w:rPr>
        <w:t>IML</w:t>
      </w:r>
      <w:r w:rsidRPr="000E6F2B">
        <w:rPr>
          <w:lang w:val="en-GB" w:eastAsia="en-GB"/>
        </w:rPr>
        <w:t>’s own funds requirements:</w:t>
      </w:r>
    </w:p>
    <w:tbl>
      <w:tblPr>
        <w:tblW w:w="8926" w:type="dxa"/>
        <w:tblLook w:val="04A0" w:firstRow="1" w:lastRow="0" w:firstColumn="1" w:lastColumn="0" w:noHBand="0" w:noVBand="1"/>
      </w:tblPr>
      <w:tblGrid>
        <w:gridCol w:w="7792"/>
        <w:gridCol w:w="1134"/>
      </w:tblGrid>
      <w:tr w:rsidR="00EF25FE" w:rsidRPr="00B50967" w14:paraId="3EA1C4CE" w14:textId="77777777" w:rsidTr="008A35DB">
        <w:trPr>
          <w:trHeight w:val="276"/>
        </w:trPr>
        <w:tc>
          <w:tcPr>
            <w:tcW w:w="7792"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3A72CD0E" w14:textId="77777777" w:rsidR="00EF25FE" w:rsidRPr="00F90319" w:rsidRDefault="00EF25FE" w:rsidP="008A35DB">
            <w:pPr>
              <w:jc w:val="both"/>
              <w:rPr>
                <w:rFonts w:ascii="Arial" w:eastAsia="Times New Roman" w:hAnsi="Arial" w:cs="Arial"/>
                <w:b/>
                <w:bCs/>
                <w:color w:val="FFFFFF" w:themeColor="background1"/>
                <w:lang w:val="en-GB" w:eastAsia="en-GB"/>
              </w:rPr>
            </w:pPr>
            <w:r w:rsidRPr="00F90319">
              <w:rPr>
                <w:rFonts w:ascii="Arial" w:eastAsia="Times New Roman" w:hAnsi="Arial" w:cs="Arial"/>
                <w:b/>
                <w:bCs/>
                <w:color w:val="FFFFFF" w:themeColor="background1"/>
                <w:lang w:val="en-GB" w:eastAsia="en-GB"/>
              </w:rPr>
              <w:t>Requirement</w:t>
            </w:r>
          </w:p>
        </w:tc>
        <w:tc>
          <w:tcPr>
            <w:tcW w:w="1134" w:type="dxa"/>
            <w:tcBorders>
              <w:top w:val="single" w:sz="4" w:space="0" w:color="auto"/>
              <w:left w:val="nil"/>
              <w:bottom w:val="single" w:sz="4" w:space="0" w:color="auto"/>
              <w:right w:val="single" w:sz="4" w:space="0" w:color="auto"/>
            </w:tcBorders>
            <w:shd w:val="clear" w:color="auto" w:fill="006CA9"/>
            <w:noWrap/>
            <w:vAlign w:val="bottom"/>
            <w:hideMark/>
          </w:tcPr>
          <w:p w14:paraId="613162A2" w14:textId="77777777" w:rsidR="00EF25FE" w:rsidRPr="00F90319" w:rsidRDefault="00EF25FE" w:rsidP="008A35DB">
            <w:pPr>
              <w:jc w:val="both"/>
              <w:rPr>
                <w:rFonts w:ascii="Arial" w:eastAsia="Times New Roman" w:hAnsi="Arial" w:cs="Arial"/>
                <w:b/>
                <w:bCs/>
                <w:color w:val="FFFFFF" w:themeColor="background1"/>
                <w:lang w:val="en-GB" w:eastAsia="en-GB"/>
              </w:rPr>
            </w:pPr>
            <w:r w:rsidRPr="00F90319">
              <w:rPr>
                <w:rFonts w:ascii="Arial" w:eastAsia="Times New Roman" w:hAnsi="Arial" w:cs="Arial"/>
                <w:b/>
                <w:bCs/>
                <w:color w:val="FFFFFF" w:themeColor="background1"/>
                <w:lang w:val="en-GB" w:eastAsia="en-GB"/>
              </w:rPr>
              <w:t>£’000</w:t>
            </w:r>
          </w:p>
        </w:tc>
      </w:tr>
      <w:tr w:rsidR="00EF25FE" w:rsidRPr="00B50967" w14:paraId="5251746E" w14:textId="77777777" w:rsidTr="008A35DB">
        <w:trPr>
          <w:trHeight w:val="276"/>
        </w:trPr>
        <w:tc>
          <w:tcPr>
            <w:tcW w:w="7792" w:type="dxa"/>
            <w:tcBorders>
              <w:top w:val="nil"/>
              <w:left w:val="single" w:sz="4" w:space="0" w:color="auto"/>
              <w:bottom w:val="single" w:sz="4" w:space="0" w:color="auto"/>
              <w:right w:val="single" w:sz="4" w:space="0" w:color="auto"/>
            </w:tcBorders>
            <w:noWrap/>
            <w:vAlign w:val="bottom"/>
            <w:hideMark/>
          </w:tcPr>
          <w:p w14:paraId="5F07F883" w14:textId="77777777" w:rsidR="00EF25FE" w:rsidRPr="00F90319" w:rsidRDefault="00EF25FE" w:rsidP="008A35DB">
            <w:pPr>
              <w:jc w:val="both"/>
              <w:rPr>
                <w:rFonts w:ascii="Arial" w:eastAsia="Times New Roman" w:hAnsi="Arial" w:cs="Arial"/>
                <w:color w:val="000000"/>
                <w:lang w:val="en-GB" w:eastAsia="en-GB"/>
              </w:rPr>
            </w:pPr>
            <w:r w:rsidRPr="00F90319">
              <w:rPr>
                <w:rFonts w:ascii="Arial" w:eastAsia="Times New Roman" w:hAnsi="Arial" w:cs="Arial"/>
                <w:color w:val="000000"/>
                <w:lang w:val="en-GB" w:eastAsia="en-GB"/>
              </w:rPr>
              <w:t>(A) Permanent Minimum Capital Requirement ("PMR")</w:t>
            </w:r>
          </w:p>
        </w:tc>
        <w:tc>
          <w:tcPr>
            <w:tcW w:w="1134" w:type="dxa"/>
            <w:tcBorders>
              <w:top w:val="nil"/>
              <w:left w:val="nil"/>
              <w:bottom w:val="single" w:sz="4" w:space="0" w:color="auto"/>
              <w:right w:val="single" w:sz="4" w:space="0" w:color="auto"/>
            </w:tcBorders>
            <w:noWrap/>
            <w:vAlign w:val="bottom"/>
            <w:hideMark/>
          </w:tcPr>
          <w:p w14:paraId="4FD5A616" w14:textId="68798ABA" w:rsidR="00EF25FE" w:rsidRPr="00F90319" w:rsidRDefault="00EF25FE" w:rsidP="008A35DB">
            <w:pPr>
              <w:jc w:val="both"/>
              <w:rPr>
                <w:rFonts w:ascii="Arial" w:eastAsia="Times New Roman" w:hAnsi="Arial" w:cs="Arial"/>
                <w:color w:val="000000"/>
                <w:lang w:val="en-GB" w:eastAsia="en-GB"/>
              </w:rPr>
            </w:pPr>
            <w:r w:rsidRPr="00F90319">
              <w:rPr>
                <w:rFonts w:ascii="Arial" w:eastAsia="Times New Roman" w:hAnsi="Arial" w:cs="Arial"/>
                <w:color w:val="000000"/>
                <w:lang w:val="en-GB" w:eastAsia="en-GB"/>
              </w:rPr>
              <w:t> </w:t>
            </w:r>
            <w:r w:rsidR="00CB361F">
              <w:rPr>
                <w:rFonts w:ascii="Arial" w:eastAsia="Times New Roman" w:hAnsi="Arial" w:cs="Arial"/>
                <w:color w:val="000000"/>
                <w:lang w:val="en-GB" w:eastAsia="en-GB"/>
              </w:rPr>
              <w:t>75</w:t>
            </w:r>
          </w:p>
        </w:tc>
      </w:tr>
      <w:tr w:rsidR="00EF25FE" w:rsidRPr="00B50967" w14:paraId="23346862" w14:textId="77777777" w:rsidTr="00122601">
        <w:trPr>
          <w:trHeight w:val="276"/>
        </w:trPr>
        <w:tc>
          <w:tcPr>
            <w:tcW w:w="7792" w:type="dxa"/>
            <w:tcBorders>
              <w:top w:val="nil"/>
              <w:left w:val="single" w:sz="4" w:space="0" w:color="auto"/>
              <w:bottom w:val="single" w:sz="4" w:space="0" w:color="auto"/>
              <w:right w:val="single" w:sz="4" w:space="0" w:color="auto"/>
            </w:tcBorders>
            <w:noWrap/>
            <w:vAlign w:val="bottom"/>
            <w:hideMark/>
          </w:tcPr>
          <w:p w14:paraId="19EC8305" w14:textId="77777777" w:rsidR="00EF25FE" w:rsidRPr="00F90319" w:rsidRDefault="00EF25FE" w:rsidP="008A35DB">
            <w:pPr>
              <w:jc w:val="both"/>
              <w:rPr>
                <w:rFonts w:ascii="Arial" w:eastAsia="Times New Roman" w:hAnsi="Arial" w:cs="Arial"/>
                <w:color w:val="000000"/>
                <w:lang w:val="en-GB" w:eastAsia="en-GB"/>
              </w:rPr>
            </w:pPr>
            <w:r w:rsidRPr="00F90319">
              <w:rPr>
                <w:rFonts w:ascii="Arial" w:eastAsia="Times New Roman" w:hAnsi="Arial" w:cs="Arial"/>
                <w:color w:val="000000"/>
                <w:lang w:val="en-GB" w:eastAsia="en-GB"/>
              </w:rPr>
              <w:t>(B) Fixed Overhead Requirement (“FOR”)</w:t>
            </w:r>
          </w:p>
        </w:tc>
        <w:tc>
          <w:tcPr>
            <w:tcW w:w="1134" w:type="dxa"/>
            <w:tcBorders>
              <w:top w:val="nil"/>
              <w:left w:val="nil"/>
              <w:bottom w:val="single" w:sz="4" w:space="0" w:color="auto"/>
              <w:right w:val="single" w:sz="4" w:space="0" w:color="auto"/>
            </w:tcBorders>
            <w:noWrap/>
            <w:vAlign w:val="bottom"/>
            <w:hideMark/>
          </w:tcPr>
          <w:p w14:paraId="216B0F3D" w14:textId="69DC94B0" w:rsidR="00EF25FE" w:rsidRPr="00F90319" w:rsidRDefault="00EF25FE" w:rsidP="008A35DB">
            <w:pPr>
              <w:jc w:val="both"/>
              <w:rPr>
                <w:rFonts w:ascii="Arial" w:eastAsia="Times New Roman" w:hAnsi="Arial" w:cs="Arial"/>
                <w:color w:val="000000"/>
                <w:lang w:val="en-GB" w:eastAsia="en-GB"/>
              </w:rPr>
            </w:pPr>
            <w:r w:rsidRPr="00F90319">
              <w:rPr>
                <w:rFonts w:ascii="Arial" w:eastAsia="Times New Roman" w:hAnsi="Arial" w:cs="Arial"/>
                <w:color w:val="000000"/>
                <w:lang w:val="en-GB" w:eastAsia="en-GB"/>
              </w:rPr>
              <w:t> </w:t>
            </w:r>
            <w:r w:rsidR="00D737D7">
              <w:rPr>
                <w:rFonts w:ascii="Arial" w:eastAsia="Times New Roman" w:hAnsi="Arial" w:cs="Arial"/>
                <w:color w:val="000000"/>
                <w:lang w:val="en-GB" w:eastAsia="en-GB"/>
              </w:rPr>
              <w:t>5</w:t>
            </w:r>
            <w:r w:rsidR="007C63C4">
              <w:rPr>
                <w:rFonts w:ascii="Arial" w:eastAsia="Times New Roman" w:hAnsi="Arial" w:cs="Arial"/>
                <w:color w:val="000000"/>
                <w:lang w:val="en-GB" w:eastAsia="en-GB"/>
              </w:rPr>
              <w:t>,</w:t>
            </w:r>
            <w:r w:rsidR="00D737D7">
              <w:rPr>
                <w:rFonts w:ascii="Arial" w:eastAsia="Times New Roman" w:hAnsi="Arial" w:cs="Arial"/>
                <w:color w:val="000000"/>
                <w:lang w:val="en-GB" w:eastAsia="en-GB"/>
              </w:rPr>
              <w:t>874</w:t>
            </w:r>
          </w:p>
        </w:tc>
      </w:tr>
      <w:tr w:rsidR="00EF25FE" w:rsidRPr="00B50967" w14:paraId="26336949" w14:textId="77777777" w:rsidTr="00122601">
        <w:trPr>
          <w:trHeight w:val="276"/>
        </w:trPr>
        <w:tc>
          <w:tcPr>
            <w:tcW w:w="7792" w:type="dxa"/>
            <w:tcBorders>
              <w:top w:val="single" w:sz="4" w:space="0" w:color="auto"/>
              <w:left w:val="single" w:sz="4" w:space="0" w:color="auto"/>
              <w:bottom w:val="single" w:sz="4" w:space="0" w:color="auto"/>
              <w:right w:val="single" w:sz="4" w:space="0" w:color="auto"/>
            </w:tcBorders>
            <w:noWrap/>
            <w:vAlign w:val="bottom"/>
            <w:hideMark/>
          </w:tcPr>
          <w:p w14:paraId="2C954D8C" w14:textId="699578B9" w:rsidR="00EF25FE" w:rsidRPr="000F091D" w:rsidRDefault="000F091D" w:rsidP="008A35DB">
            <w:pPr>
              <w:jc w:val="both"/>
              <w:rPr>
                <w:rFonts w:ascii="Arial" w:eastAsia="Times New Roman" w:hAnsi="Arial" w:cs="Arial"/>
                <w:color w:val="000000"/>
                <w:lang w:val="en-GB" w:eastAsia="en-GB"/>
              </w:rPr>
            </w:pPr>
            <w:r w:rsidRPr="000F091D">
              <w:rPr>
                <w:rFonts w:ascii="Arial" w:eastAsia="Times New Roman" w:hAnsi="Arial" w:cs="Arial"/>
                <w:color w:val="000000"/>
                <w:lang w:val="en-GB" w:eastAsia="en-GB"/>
              </w:rPr>
              <w:t>(C) K-Factor Requirements (“KFR”)</w:t>
            </w:r>
          </w:p>
        </w:tc>
        <w:tc>
          <w:tcPr>
            <w:tcW w:w="1134" w:type="dxa"/>
            <w:tcBorders>
              <w:top w:val="single" w:sz="4" w:space="0" w:color="auto"/>
              <w:left w:val="nil"/>
              <w:bottom w:val="single" w:sz="4" w:space="0" w:color="auto"/>
              <w:right w:val="single" w:sz="4" w:space="0" w:color="auto"/>
            </w:tcBorders>
            <w:noWrap/>
            <w:vAlign w:val="bottom"/>
            <w:hideMark/>
          </w:tcPr>
          <w:p w14:paraId="76CCB472" w14:textId="4E412470" w:rsidR="00EF25FE" w:rsidRPr="00F90319" w:rsidRDefault="00EF25FE" w:rsidP="008A35DB">
            <w:pPr>
              <w:jc w:val="both"/>
              <w:rPr>
                <w:rFonts w:ascii="Arial" w:eastAsia="Times New Roman" w:hAnsi="Arial" w:cs="Arial"/>
                <w:color w:val="000000"/>
                <w:lang w:val="en-GB" w:eastAsia="en-GB"/>
              </w:rPr>
            </w:pPr>
            <w:r w:rsidRPr="00F90319">
              <w:rPr>
                <w:rFonts w:ascii="Arial" w:eastAsia="Times New Roman" w:hAnsi="Arial" w:cs="Arial"/>
                <w:color w:val="000000"/>
                <w:lang w:val="en-GB" w:eastAsia="en-GB"/>
              </w:rPr>
              <w:t> </w:t>
            </w:r>
            <w:r w:rsidR="007C63C4">
              <w:rPr>
                <w:rFonts w:ascii="Arial" w:eastAsia="Times New Roman" w:hAnsi="Arial" w:cs="Arial"/>
                <w:color w:val="000000"/>
                <w:lang w:val="en-GB" w:eastAsia="en-GB"/>
              </w:rPr>
              <w:t>1,</w:t>
            </w:r>
            <w:r w:rsidR="00D737D7">
              <w:rPr>
                <w:rFonts w:ascii="Arial" w:eastAsia="Times New Roman" w:hAnsi="Arial" w:cs="Arial"/>
                <w:color w:val="000000"/>
                <w:lang w:val="en-GB" w:eastAsia="en-GB"/>
              </w:rPr>
              <w:t>887</w:t>
            </w:r>
          </w:p>
        </w:tc>
      </w:tr>
      <w:tr w:rsidR="00122601" w:rsidRPr="00B50967" w14:paraId="2726E566" w14:textId="77777777" w:rsidTr="00122601">
        <w:trPr>
          <w:trHeight w:val="276"/>
        </w:trPr>
        <w:tc>
          <w:tcPr>
            <w:tcW w:w="7792" w:type="dxa"/>
            <w:tcBorders>
              <w:top w:val="single" w:sz="4" w:space="0" w:color="auto"/>
              <w:left w:val="single" w:sz="4" w:space="0" w:color="auto"/>
              <w:bottom w:val="single" w:sz="4" w:space="0" w:color="auto"/>
              <w:right w:val="single" w:sz="4" w:space="0" w:color="auto"/>
            </w:tcBorders>
            <w:noWrap/>
            <w:vAlign w:val="bottom"/>
          </w:tcPr>
          <w:p w14:paraId="1DC083CD" w14:textId="0A348F33" w:rsidR="00122601" w:rsidRPr="000F091D" w:rsidRDefault="00122601" w:rsidP="00B17FDE">
            <w:pPr>
              <w:pStyle w:val="ListParagraph"/>
              <w:numPr>
                <w:ilvl w:val="0"/>
                <w:numId w:val="12"/>
              </w:numPr>
              <w:jc w:val="both"/>
              <w:rPr>
                <w:rFonts w:ascii="Arial" w:eastAsia="Times New Roman" w:hAnsi="Arial" w:cs="Arial"/>
                <w:color w:val="000000"/>
                <w:lang w:val="en-GB" w:eastAsia="en-GB"/>
              </w:rPr>
            </w:pPr>
            <w:r w:rsidRPr="000F091D">
              <w:rPr>
                <w:rFonts w:ascii="Arial" w:eastAsia="Times New Roman" w:hAnsi="Arial" w:cs="Arial"/>
                <w:color w:val="000000"/>
                <w:lang w:val="en-GB" w:eastAsia="en-GB"/>
              </w:rPr>
              <w:t>K-AUM</w:t>
            </w:r>
            <w:r w:rsidR="00590B0D" w:rsidRPr="000F091D">
              <w:rPr>
                <w:rFonts w:ascii="Arial" w:eastAsia="Times New Roman" w:hAnsi="Arial" w:cs="Arial"/>
                <w:color w:val="000000"/>
                <w:lang w:val="en-GB" w:eastAsia="en-GB"/>
              </w:rPr>
              <w:t xml:space="preserve"> – </w:t>
            </w:r>
            <w:r w:rsidR="00590B0D" w:rsidRPr="000F091D">
              <w:rPr>
                <w:rFonts w:ascii="Arial" w:eastAsia="Times New Roman" w:hAnsi="Arial" w:cs="Arial"/>
                <w:i/>
                <w:iCs/>
                <w:color w:val="000000"/>
                <w:lang w:val="en-GB" w:eastAsia="en-GB"/>
              </w:rPr>
              <w:t>Risk arising from managing and advising on investments</w:t>
            </w:r>
          </w:p>
        </w:tc>
        <w:tc>
          <w:tcPr>
            <w:tcW w:w="1134" w:type="dxa"/>
            <w:tcBorders>
              <w:top w:val="single" w:sz="4" w:space="0" w:color="auto"/>
              <w:left w:val="nil"/>
              <w:bottom w:val="single" w:sz="4" w:space="0" w:color="auto"/>
              <w:right w:val="single" w:sz="4" w:space="0" w:color="auto"/>
            </w:tcBorders>
            <w:noWrap/>
            <w:vAlign w:val="bottom"/>
          </w:tcPr>
          <w:p w14:paraId="7D8D0C89" w14:textId="341FCA3C" w:rsidR="00122601" w:rsidRPr="00F90319" w:rsidRDefault="007C63C4" w:rsidP="008A35DB">
            <w:pPr>
              <w:jc w:val="both"/>
              <w:rPr>
                <w:rFonts w:ascii="Arial" w:eastAsia="Times New Roman" w:hAnsi="Arial" w:cs="Arial"/>
                <w:color w:val="000000"/>
                <w:lang w:val="en-GB" w:eastAsia="en-GB"/>
              </w:rPr>
            </w:pPr>
            <w:r>
              <w:rPr>
                <w:rFonts w:ascii="Arial" w:eastAsia="Times New Roman" w:hAnsi="Arial" w:cs="Arial"/>
                <w:color w:val="000000"/>
                <w:lang w:val="en-GB" w:eastAsia="en-GB"/>
              </w:rPr>
              <w:t>1,</w:t>
            </w:r>
            <w:r w:rsidR="00D737D7">
              <w:rPr>
                <w:rFonts w:ascii="Arial" w:eastAsia="Times New Roman" w:hAnsi="Arial" w:cs="Arial"/>
                <w:color w:val="000000"/>
                <w:lang w:val="en-GB" w:eastAsia="en-GB"/>
              </w:rPr>
              <w:t>887</w:t>
            </w:r>
          </w:p>
        </w:tc>
      </w:tr>
      <w:tr w:rsidR="00122601" w:rsidRPr="00B50967" w14:paraId="297BFF19" w14:textId="77777777" w:rsidTr="00122601">
        <w:trPr>
          <w:trHeight w:val="276"/>
        </w:trPr>
        <w:tc>
          <w:tcPr>
            <w:tcW w:w="7792" w:type="dxa"/>
            <w:tcBorders>
              <w:top w:val="single" w:sz="4" w:space="0" w:color="auto"/>
              <w:left w:val="single" w:sz="4" w:space="0" w:color="auto"/>
              <w:bottom w:val="single" w:sz="4" w:space="0" w:color="auto"/>
              <w:right w:val="single" w:sz="4" w:space="0" w:color="auto"/>
            </w:tcBorders>
            <w:noWrap/>
            <w:vAlign w:val="bottom"/>
          </w:tcPr>
          <w:p w14:paraId="1A3B36D3" w14:textId="6CEDC483" w:rsidR="00122601" w:rsidRPr="000F091D" w:rsidRDefault="00590B0D" w:rsidP="00B17FDE">
            <w:pPr>
              <w:pStyle w:val="ListParagraph"/>
              <w:numPr>
                <w:ilvl w:val="0"/>
                <w:numId w:val="12"/>
              </w:numPr>
              <w:jc w:val="both"/>
              <w:rPr>
                <w:rFonts w:ascii="Arial" w:eastAsia="Times New Roman" w:hAnsi="Arial" w:cs="Arial"/>
                <w:color w:val="000000"/>
                <w:lang w:val="en-GB" w:eastAsia="en-GB"/>
              </w:rPr>
            </w:pPr>
            <w:r w:rsidRPr="000F091D">
              <w:rPr>
                <w:rFonts w:ascii="Arial" w:eastAsia="Times New Roman" w:hAnsi="Arial" w:cs="Arial"/>
                <w:color w:val="000000"/>
                <w:lang w:val="en-GB" w:eastAsia="en-GB"/>
              </w:rPr>
              <w:t xml:space="preserve">K-COH – </w:t>
            </w:r>
            <w:r w:rsidRPr="000F091D">
              <w:rPr>
                <w:rFonts w:ascii="Arial" w:eastAsia="Times New Roman" w:hAnsi="Arial" w:cs="Arial"/>
                <w:i/>
                <w:iCs/>
                <w:color w:val="000000"/>
                <w:lang w:val="en-GB" w:eastAsia="en-GB"/>
              </w:rPr>
              <w:t>Risk arising from order execution and reception and transmission of orders</w:t>
            </w:r>
          </w:p>
        </w:tc>
        <w:tc>
          <w:tcPr>
            <w:tcW w:w="1134" w:type="dxa"/>
            <w:tcBorders>
              <w:top w:val="single" w:sz="4" w:space="0" w:color="auto"/>
              <w:left w:val="nil"/>
              <w:bottom w:val="single" w:sz="4" w:space="0" w:color="auto"/>
              <w:right w:val="single" w:sz="4" w:space="0" w:color="auto"/>
            </w:tcBorders>
            <w:noWrap/>
            <w:vAlign w:val="bottom"/>
          </w:tcPr>
          <w:p w14:paraId="6CB2FC0A" w14:textId="77777777" w:rsidR="00122601" w:rsidRPr="00F90319" w:rsidRDefault="00122601" w:rsidP="008A35DB">
            <w:pPr>
              <w:jc w:val="both"/>
              <w:rPr>
                <w:rFonts w:ascii="Arial" w:eastAsia="Times New Roman" w:hAnsi="Arial" w:cs="Arial"/>
                <w:color w:val="000000"/>
                <w:lang w:val="en-GB" w:eastAsia="en-GB"/>
              </w:rPr>
            </w:pPr>
          </w:p>
        </w:tc>
      </w:tr>
      <w:tr w:rsidR="00122601" w:rsidRPr="00B50967" w14:paraId="0CD335B8" w14:textId="77777777" w:rsidTr="00122601">
        <w:trPr>
          <w:trHeight w:val="276"/>
        </w:trPr>
        <w:tc>
          <w:tcPr>
            <w:tcW w:w="7792" w:type="dxa"/>
            <w:tcBorders>
              <w:top w:val="single" w:sz="4" w:space="0" w:color="auto"/>
              <w:left w:val="single" w:sz="4" w:space="0" w:color="auto"/>
              <w:bottom w:val="single" w:sz="4" w:space="0" w:color="auto"/>
              <w:right w:val="single" w:sz="4" w:space="0" w:color="auto"/>
            </w:tcBorders>
            <w:noWrap/>
            <w:vAlign w:val="bottom"/>
          </w:tcPr>
          <w:p w14:paraId="52D9AF80" w14:textId="3E6E6BF7" w:rsidR="00122601" w:rsidRPr="00F90319" w:rsidRDefault="00590B0D" w:rsidP="008A35DB">
            <w:pPr>
              <w:jc w:val="both"/>
              <w:rPr>
                <w:rFonts w:ascii="Arial" w:eastAsia="Times New Roman" w:hAnsi="Arial" w:cs="Arial"/>
                <w:b/>
                <w:bCs/>
                <w:color w:val="000000"/>
                <w:lang w:val="en-GB" w:eastAsia="en-GB"/>
              </w:rPr>
            </w:pPr>
            <w:r w:rsidRPr="00F90319">
              <w:rPr>
                <w:rFonts w:ascii="Arial" w:eastAsia="Times New Roman" w:hAnsi="Arial" w:cs="Arial"/>
                <w:b/>
                <w:bCs/>
                <w:color w:val="000000"/>
                <w:lang w:val="en-GB" w:eastAsia="en-GB"/>
              </w:rPr>
              <w:t>(</w:t>
            </w:r>
            <w:r>
              <w:rPr>
                <w:rFonts w:ascii="Arial" w:eastAsia="Times New Roman" w:hAnsi="Arial" w:cs="Arial"/>
                <w:b/>
                <w:bCs/>
                <w:color w:val="000000"/>
                <w:lang w:val="en-GB" w:eastAsia="en-GB"/>
              </w:rPr>
              <w:t>D</w:t>
            </w:r>
            <w:r w:rsidRPr="00F90319">
              <w:rPr>
                <w:rFonts w:ascii="Arial" w:eastAsia="Times New Roman" w:hAnsi="Arial" w:cs="Arial"/>
                <w:b/>
                <w:bCs/>
                <w:color w:val="000000"/>
                <w:lang w:val="en-GB" w:eastAsia="en-GB"/>
              </w:rPr>
              <w:t>) Own Funds Requirement (Max</w:t>
            </w:r>
            <w:r w:rsidR="00984FAA">
              <w:rPr>
                <w:rFonts w:ascii="Arial" w:eastAsia="Times New Roman" w:hAnsi="Arial" w:cs="Arial"/>
                <w:b/>
                <w:bCs/>
                <w:color w:val="000000"/>
                <w:lang w:val="en-GB" w:eastAsia="en-GB"/>
              </w:rPr>
              <w:t xml:space="preserve">. </w:t>
            </w:r>
            <w:r w:rsidRPr="00F90319">
              <w:rPr>
                <w:rFonts w:ascii="Arial" w:eastAsia="Times New Roman" w:hAnsi="Arial" w:cs="Arial"/>
                <w:b/>
                <w:bCs/>
                <w:color w:val="000000"/>
                <w:lang w:val="en-GB" w:eastAsia="en-GB"/>
              </w:rPr>
              <w:t>[A</w:t>
            </w:r>
            <w:r>
              <w:rPr>
                <w:rFonts w:ascii="Arial" w:eastAsia="Times New Roman" w:hAnsi="Arial" w:cs="Arial"/>
                <w:b/>
                <w:bCs/>
                <w:color w:val="000000"/>
                <w:lang w:val="en-GB" w:eastAsia="en-GB"/>
              </w:rPr>
              <w:t>,</w:t>
            </w:r>
            <w:r w:rsidRPr="00F90319">
              <w:rPr>
                <w:rFonts w:ascii="Arial" w:eastAsia="Times New Roman" w:hAnsi="Arial" w:cs="Arial"/>
                <w:b/>
                <w:bCs/>
                <w:color w:val="000000"/>
                <w:lang w:val="en-GB" w:eastAsia="en-GB"/>
              </w:rPr>
              <w:t xml:space="preserve"> B</w:t>
            </w:r>
            <w:r w:rsidR="000F091D">
              <w:rPr>
                <w:rFonts w:ascii="Arial" w:eastAsia="Times New Roman" w:hAnsi="Arial" w:cs="Arial"/>
                <w:b/>
                <w:bCs/>
                <w:color w:val="000000"/>
                <w:lang w:val="en-GB" w:eastAsia="en-GB"/>
              </w:rPr>
              <w:t>, C</w:t>
            </w:r>
            <w:r w:rsidRPr="00F90319">
              <w:rPr>
                <w:rFonts w:ascii="Arial" w:eastAsia="Times New Roman" w:hAnsi="Arial" w:cs="Arial"/>
                <w:b/>
                <w:bCs/>
                <w:color w:val="000000"/>
                <w:lang w:val="en-GB" w:eastAsia="en-GB"/>
              </w:rPr>
              <w:t>])</w:t>
            </w:r>
          </w:p>
        </w:tc>
        <w:tc>
          <w:tcPr>
            <w:tcW w:w="1134" w:type="dxa"/>
            <w:tcBorders>
              <w:top w:val="single" w:sz="4" w:space="0" w:color="auto"/>
              <w:left w:val="nil"/>
              <w:bottom w:val="single" w:sz="4" w:space="0" w:color="auto"/>
              <w:right w:val="single" w:sz="4" w:space="0" w:color="auto"/>
            </w:tcBorders>
            <w:noWrap/>
            <w:vAlign w:val="bottom"/>
          </w:tcPr>
          <w:p w14:paraId="042EA742" w14:textId="488C511D" w:rsidR="00122601" w:rsidRPr="00F90319" w:rsidRDefault="00D737D7" w:rsidP="008A35DB">
            <w:pPr>
              <w:jc w:val="both"/>
              <w:rPr>
                <w:rFonts w:ascii="Arial" w:eastAsia="Times New Roman" w:hAnsi="Arial" w:cs="Arial"/>
                <w:color w:val="000000"/>
                <w:lang w:val="en-GB" w:eastAsia="en-GB"/>
              </w:rPr>
            </w:pPr>
            <w:r>
              <w:rPr>
                <w:rFonts w:ascii="Arial" w:eastAsia="Times New Roman" w:hAnsi="Arial" w:cs="Arial"/>
                <w:color w:val="000000"/>
                <w:lang w:val="en-GB" w:eastAsia="en-GB"/>
              </w:rPr>
              <w:t>5</w:t>
            </w:r>
            <w:r w:rsidR="007C63C4">
              <w:rPr>
                <w:rFonts w:ascii="Arial" w:eastAsia="Times New Roman" w:hAnsi="Arial" w:cs="Arial"/>
                <w:color w:val="000000"/>
                <w:lang w:val="en-GB" w:eastAsia="en-GB"/>
              </w:rPr>
              <w:t>,</w:t>
            </w:r>
            <w:r>
              <w:rPr>
                <w:rFonts w:ascii="Arial" w:eastAsia="Times New Roman" w:hAnsi="Arial" w:cs="Arial"/>
                <w:color w:val="000000"/>
                <w:lang w:val="en-GB" w:eastAsia="en-GB"/>
              </w:rPr>
              <w:t>874</w:t>
            </w:r>
          </w:p>
        </w:tc>
      </w:tr>
    </w:tbl>
    <w:p w14:paraId="1D5AD057" w14:textId="4AE2A7B5" w:rsidR="00EF25FE" w:rsidRPr="000E6F2B" w:rsidRDefault="00531412" w:rsidP="00EF25FE">
      <w:pPr>
        <w:jc w:val="both"/>
        <w:rPr>
          <w:lang w:val="en-GB" w:eastAsia="en-GB"/>
        </w:rPr>
      </w:pPr>
      <w:r>
        <w:rPr>
          <w:lang w:val="en-GB" w:eastAsia="en-GB"/>
        </w:rPr>
        <w:t>MS A</w:t>
      </w:r>
      <w:r w:rsidR="00F75DD0">
        <w:rPr>
          <w:lang w:val="en-GB" w:eastAsia="en-GB"/>
        </w:rPr>
        <w:t>IML</w:t>
      </w:r>
      <w:r w:rsidR="00EF25FE" w:rsidRPr="000E6F2B">
        <w:rPr>
          <w:lang w:val="en-GB" w:eastAsia="en-GB"/>
        </w:rPr>
        <w:t xml:space="preserve"> is also required to comply with overall financial adequacy rule (“OFAR”). This is an obligation on </w:t>
      </w:r>
      <w:r>
        <w:rPr>
          <w:lang w:val="en-GB" w:eastAsia="en-GB"/>
        </w:rPr>
        <w:t>MS A</w:t>
      </w:r>
      <w:r w:rsidR="00F75DD0">
        <w:rPr>
          <w:lang w:val="en-GB" w:eastAsia="en-GB"/>
        </w:rPr>
        <w:t>IML</w:t>
      </w:r>
      <w:r w:rsidR="00EF25FE" w:rsidRPr="000E6F2B">
        <w:rPr>
          <w:lang w:val="en-GB" w:eastAsia="en-GB"/>
        </w:rPr>
        <w:t xml:space="preserve"> to hold own funds and liquid assets which are adequate, both as to their amount and quality, to ensure that:</w:t>
      </w:r>
    </w:p>
    <w:p w14:paraId="3FF763A3" w14:textId="77777777" w:rsidR="00EF25FE" w:rsidRPr="000E6F2B" w:rsidRDefault="00EF25FE" w:rsidP="00B17FDE">
      <w:pPr>
        <w:pStyle w:val="ListParagraph"/>
        <w:numPr>
          <w:ilvl w:val="0"/>
          <w:numId w:val="8"/>
        </w:numPr>
        <w:jc w:val="both"/>
        <w:rPr>
          <w:lang w:val="en-GB" w:eastAsia="en-GB"/>
        </w:rPr>
      </w:pPr>
      <w:r w:rsidRPr="000E6F2B">
        <w:rPr>
          <w:lang w:val="en-GB" w:eastAsia="en-GB"/>
        </w:rPr>
        <w:t>The Firm is able to remain financially viable throughout the economic cycle, with the ability to address any material potential harm that may result from its ongoing activities; and</w:t>
      </w:r>
    </w:p>
    <w:p w14:paraId="10B62960" w14:textId="77777777" w:rsidR="00EF25FE" w:rsidRPr="000E6F2B" w:rsidRDefault="00EF25FE" w:rsidP="00B17FDE">
      <w:pPr>
        <w:pStyle w:val="ListParagraph"/>
        <w:numPr>
          <w:ilvl w:val="0"/>
          <w:numId w:val="8"/>
        </w:numPr>
        <w:jc w:val="both"/>
        <w:rPr>
          <w:lang w:val="en-GB" w:eastAsia="en-GB"/>
        </w:rPr>
      </w:pPr>
      <w:r w:rsidRPr="000E6F2B">
        <w:rPr>
          <w:lang w:val="en-GB" w:eastAsia="en-GB"/>
        </w:rPr>
        <w:t>The Firm’s business can be wound down in an orderly manner, minimising harm to consumers or to other market participants.</w:t>
      </w:r>
    </w:p>
    <w:p w14:paraId="375E1474" w14:textId="7448A20B" w:rsidR="00EF25FE" w:rsidRDefault="00EF25FE" w:rsidP="00EF25FE">
      <w:pPr>
        <w:jc w:val="both"/>
        <w:rPr>
          <w:lang w:val="en-GB" w:eastAsia="en-GB"/>
        </w:rPr>
      </w:pPr>
      <w:r w:rsidRPr="000E6F2B">
        <w:rPr>
          <w:lang w:val="en-GB" w:eastAsia="en-GB"/>
        </w:rPr>
        <w:t xml:space="preserve">Where </w:t>
      </w:r>
      <w:r w:rsidR="00531412">
        <w:rPr>
          <w:lang w:val="en-GB" w:eastAsia="en-GB"/>
        </w:rPr>
        <w:t>MS A</w:t>
      </w:r>
      <w:r w:rsidR="00F75DD0">
        <w:rPr>
          <w:lang w:val="en-GB" w:eastAsia="en-GB"/>
        </w:rPr>
        <w:t>IML</w:t>
      </w:r>
      <w:r w:rsidRPr="000E6F2B">
        <w:rPr>
          <w:lang w:val="en-GB" w:eastAsia="en-GB"/>
        </w:rPr>
        <w:t xml:space="preserve"> determines that the FOR is insufficient to mitigate the risk of a disorderly wind-down, the Firm must maintain ‘additional own funds required for winding down’, above the FOR, that are deemed necessary to mitigate the risks of a disorderly wind-down. </w:t>
      </w:r>
      <w:r w:rsidR="007E2914" w:rsidRPr="007E2914">
        <w:rPr>
          <w:lang w:val="en-GB" w:eastAsia="en-GB"/>
        </w:rPr>
        <w:t>Similarly, where the Firm determines that the KFR is insufficient to mitigate the risk of harm from ongoing operations, the Firm must maintain</w:t>
      </w:r>
      <w:r w:rsidR="007E2914">
        <w:rPr>
          <w:lang w:val="en-GB" w:eastAsia="en-GB"/>
        </w:rPr>
        <w:t xml:space="preserve"> an amount of</w:t>
      </w:r>
      <w:r w:rsidR="007E2914" w:rsidRPr="007E2914">
        <w:rPr>
          <w:lang w:val="en-GB" w:eastAsia="en-GB"/>
        </w:rPr>
        <w:t xml:space="preserve"> ‘own funds required for ongoing operations’, above the KFR, that is deemed sufficient to ensure the viability of the Firm throughout economic cycles.</w:t>
      </w:r>
    </w:p>
    <w:p w14:paraId="744688F6" w14:textId="77777777" w:rsidR="00224E4A" w:rsidRPr="00224E4A" w:rsidRDefault="00224E4A" w:rsidP="00224E4A">
      <w:pPr>
        <w:jc w:val="both"/>
        <w:rPr>
          <w:lang w:val="en-GB" w:eastAsia="en-GB"/>
        </w:rPr>
      </w:pPr>
      <w:r w:rsidRPr="00224E4A">
        <w:rPr>
          <w:lang w:val="en-GB" w:eastAsia="en-GB"/>
        </w:rPr>
        <w:t>The Firm’s own funds threshold requirement is the higher of:</w:t>
      </w:r>
    </w:p>
    <w:p w14:paraId="42B43C4A" w14:textId="77777777" w:rsidR="00D94007" w:rsidRDefault="00D94007" w:rsidP="00D94007">
      <w:pPr>
        <w:pStyle w:val="ListParagraph"/>
        <w:numPr>
          <w:ilvl w:val="0"/>
          <w:numId w:val="0"/>
        </w:numPr>
        <w:ind w:left="720"/>
        <w:jc w:val="both"/>
        <w:rPr>
          <w:lang w:val="en-GB" w:eastAsia="en-GB"/>
        </w:rPr>
      </w:pPr>
    </w:p>
    <w:p w14:paraId="51013EFA" w14:textId="553DE62D" w:rsidR="00224E4A" w:rsidRPr="00224E4A" w:rsidRDefault="00224E4A" w:rsidP="00B17FDE">
      <w:pPr>
        <w:pStyle w:val="ListParagraph"/>
        <w:numPr>
          <w:ilvl w:val="0"/>
          <w:numId w:val="13"/>
        </w:numPr>
        <w:jc w:val="both"/>
        <w:rPr>
          <w:lang w:val="en-GB" w:eastAsia="en-GB"/>
        </w:rPr>
      </w:pPr>
      <w:r w:rsidRPr="00224E4A">
        <w:rPr>
          <w:lang w:val="en-GB" w:eastAsia="en-GB"/>
        </w:rPr>
        <w:t>The Firm’s PMR;</w:t>
      </w:r>
    </w:p>
    <w:p w14:paraId="37D9CF2B" w14:textId="738995DD" w:rsidR="00224E4A" w:rsidRPr="00224E4A" w:rsidRDefault="00224E4A" w:rsidP="00B17FDE">
      <w:pPr>
        <w:pStyle w:val="ListParagraph"/>
        <w:numPr>
          <w:ilvl w:val="0"/>
          <w:numId w:val="13"/>
        </w:numPr>
        <w:jc w:val="both"/>
        <w:rPr>
          <w:lang w:val="en-GB" w:eastAsia="en-GB"/>
        </w:rPr>
      </w:pPr>
      <w:r w:rsidRPr="00224E4A">
        <w:rPr>
          <w:lang w:val="en-GB" w:eastAsia="en-GB"/>
        </w:rPr>
        <w:t>The sum of the Firm’s FOR and its additional own funds required for winding down; and</w:t>
      </w:r>
    </w:p>
    <w:p w14:paraId="39ED7000" w14:textId="4530D4A0" w:rsidR="00224E4A" w:rsidRPr="00224E4A" w:rsidRDefault="00224E4A" w:rsidP="00B17FDE">
      <w:pPr>
        <w:pStyle w:val="ListParagraph"/>
        <w:numPr>
          <w:ilvl w:val="0"/>
          <w:numId w:val="13"/>
        </w:numPr>
        <w:jc w:val="both"/>
        <w:rPr>
          <w:lang w:val="en-GB" w:eastAsia="en-GB"/>
        </w:rPr>
      </w:pPr>
      <w:r w:rsidRPr="00224E4A">
        <w:rPr>
          <w:lang w:val="en-GB" w:eastAsia="en-GB"/>
        </w:rPr>
        <w:t xml:space="preserve">The sum of the Firm’s KFR and its additional own funds required for ongoing operations. </w:t>
      </w:r>
    </w:p>
    <w:p w14:paraId="3631E712" w14:textId="217D714A" w:rsidR="00224E4A" w:rsidRPr="000E6F2B" w:rsidRDefault="00224E4A" w:rsidP="00224E4A">
      <w:pPr>
        <w:jc w:val="both"/>
        <w:rPr>
          <w:lang w:val="en-GB" w:eastAsia="en-GB"/>
        </w:rPr>
      </w:pPr>
      <w:r w:rsidRPr="00224E4A">
        <w:rPr>
          <w:lang w:val="en-GB" w:eastAsia="en-GB"/>
        </w:rPr>
        <w:t xml:space="preserve">This is the amount of own funds that </w:t>
      </w:r>
      <w:r w:rsidR="00531412">
        <w:rPr>
          <w:lang w:val="en-GB" w:eastAsia="en-GB"/>
        </w:rPr>
        <w:t>MS A</w:t>
      </w:r>
      <w:r w:rsidR="00F75DD0">
        <w:rPr>
          <w:lang w:val="en-GB" w:eastAsia="en-GB"/>
        </w:rPr>
        <w:t>IML</w:t>
      </w:r>
      <w:r w:rsidRPr="00224E4A">
        <w:rPr>
          <w:lang w:val="en-GB" w:eastAsia="en-GB"/>
        </w:rPr>
        <w:t xml:space="preserve"> is required to maintain at any given time to comply with the OFAR.</w:t>
      </w:r>
    </w:p>
    <w:p w14:paraId="2F43720B" w14:textId="646FEFEF" w:rsidR="00EF25FE" w:rsidRPr="000E6F2B" w:rsidRDefault="00EF25FE" w:rsidP="00EF25FE">
      <w:pPr>
        <w:jc w:val="both"/>
        <w:rPr>
          <w:lang w:val="en-GB" w:eastAsia="en-GB"/>
        </w:rPr>
      </w:pPr>
      <w:r w:rsidRPr="000E6F2B">
        <w:rPr>
          <w:lang w:val="en-GB" w:eastAsia="en-GB"/>
        </w:rPr>
        <w:t xml:space="preserve">To determine the Firm’s own funds threshold requirement, </w:t>
      </w:r>
      <w:r w:rsidR="00531412">
        <w:rPr>
          <w:lang w:val="en-GB" w:eastAsia="en-GB"/>
        </w:rPr>
        <w:t>MS A</w:t>
      </w:r>
      <w:r w:rsidR="00F75DD0">
        <w:rPr>
          <w:lang w:val="en-GB" w:eastAsia="en-GB"/>
        </w:rPr>
        <w:t>IML</w:t>
      </w:r>
      <w:r w:rsidRPr="000E6F2B">
        <w:rPr>
          <w:lang w:val="en-GB" w:eastAsia="en-GB"/>
        </w:rPr>
        <w:t xml:space="preserve"> identifies and measures the risk of harm faced by the Firm and considers these risks in light of its ongoing operations and also from a wind-down planning perspective. The Firm then determines the degree to which systems and controls alone mitigate the risk of harm and the risk of a disorderly wind-down, and thereby deduces the appropriate amount of additional own funds required to cover the residual risk. </w:t>
      </w:r>
    </w:p>
    <w:p w14:paraId="497AE9E9" w14:textId="77777777" w:rsidR="00EF25FE" w:rsidRPr="000E6F2B" w:rsidRDefault="00EF25FE" w:rsidP="00EF25FE">
      <w:pPr>
        <w:jc w:val="both"/>
        <w:rPr>
          <w:lang w:val="en-GB" w:eastAsia="en-GB"/>
        </w:rPr>
      </w:pPr>
      <w:r w:rsidRPr="000E6F2B">
        <w:rPr>
          <w:lang w:val="en-GB" w:eastAsia="en-GB"/>
        </w:rPr>
        <w:t xml:space="preserve">This process is documented and presented to, and ratified by, the Governing Body on at least an annual basis. </w:t>
      </w:r>
    </w:p>
    <w:p w14:paraId="4C564F52" w14:textId="7D92581F" w:rsidR="0096785E" w:rsidRPr="00245D0D" w:rsidRDefault="0096785E" w:rsidP="00F501B4">
      <w:pPr>
        <w:pStyle w:val="Heading3"/>
        <w:rPr>
          <w:rFonts w:ascii="Arial" w:eastAsia="Times New Roman" w:hAnsi="Arial" w:cs="Times New Roman"/>
          <w:b/>
          <w:bCs/>
          <w:i w:val="0"/>
          <w:iCs w:val="0"/>
          <w:color w:val="000000"/>
          <w:sz w:val="32"/>
          <w:szCs w:val="26"/>
          <w:lang w:val="en-GB" w:eastAsia="en-GB"/>
        </w:rPr>
      </w:pPr>
      <w:r w:rsidRPr="00245D0D">
        <w:rPr>
          <w:rFonts w:ascii="Arial" w:eastAsia="Times New Roman" w:hAnsi="Arial" w:cs="Times New Roman"/>
          <w:b/>
          <w:bCs/>
          <w:i w:val="0"/>
          <w:iCs w:val="0"/>
          <w:color w:val="000000"/>
          <w:sz w:val="32"/>
          <w:szCs w:val="26"/>
          <w:lang w:val="en-GB" w:eastAsia="en-GB"/>
        </w:rPr>
        <w:t>Remuneration Policy and Practices</w:t>
      </w:r>
    </w:p>
    <w:p w14:paraId="262DDF52" w14:textId="77777777" w:rsidR="0096785E" w:rsidRPr="000C2830" w:rsidRDefault="0096785E" w:rsidP="0096785E">
      <w:pPr>
        <w:jc w:val="both"/>
        <w:rPr>
          <w:b/>
          <w:bCs/>
          <w:lang w:val="en-GB" w:eastAsia="en-GB"/>
        </w:rPr>
      </w:pPr>
      <w:r w:rsidRPr="000C2830">
        <w:rPr>
          <w:b/>
          <w:bCs/>
          <w:lang w:val="en-GB" w:eastAsia="en-GB"/>
        </w:rPr>
        <w:t>Overview</w:t>
      </w:r>
    </w:p>
    <w:p w14:paraId="48DD2128" w14:textId="35548BAD" w:rsidR="0096785E" w:rsidRPr="0052755F" w:rsidRDefault="0096785E" w:rsidP="0096785E">
      <w:pPr>
        <w:jc w:val="both"/>
        <w:rPr>
          <w:lang w:val="en-GB" w:eastAsia="en-GB"/>
        </w:rPr>
      </w:pPr>
      <w:r w:rsidRPr="0052755F">
        <w:rPr>
          <w:lang w:val="en-GB" w:eastAsia="en-GB"/>
        </w:rPr>
        <w:t>As a</w:t>
      </w:r>
      <w:r w:rsidR="00ED71AC">
        <w:rPr>
          <w:lang w:val="en-GB" w:eastAsia="en-GB"/>
        </w:rPr>
        <w:t xml:space="preserve"> Non-</w:t>
      </w:r>
      <w:r w:rsidRPr="0052755F">
        <w:rPr>
          <w:lang w:val="en-GB" w:eastAsia="en-GB"/>
        </w:rPr>
        <w:t xml:space="preserve">SNI MIFIDPRU </w:t>
      </w:r>
      <w:r w:rsidR="00FE16E8" w:rsidRPr="0052755F">
        <w:rPr>
          <w:lang w:val="en-GB" w:eastAsia="en-GB"/>
        </w:rPr>
        <w:t>I</w:t>
      </w:r>
      <w:r w:rsidRPr="0052755F">
        <w:rPr>
          <w:lang w:val="en-GB" w:eastAsia="en-GB"/>
        </w:rPr>
        <w:t xml:space="preserve">nvestment </w:t>
      </w:r>
      <w:r w:rsidR="00FE16E8" w:rsidRPr="0052755F">
        <w:rPr>
          <w:lang w:val="en-GB" w:eastAsia="en-GB"/>
        </w:rPr>
        <w:t>F</w:t>
      </w:r>
      <w:r w:rsidRPr="0052755F">
        <w:rPr>
          <w:lang w:val="en-GB" w:eastAsia="en-GB"/>
        </w:rPr>
        <w:t xml:space="preserve">irm, </w:t>
      </w:r>
      <w:r w:rsidR="00531412">
        <w:rPr>
          <w:lang w:val="en-GB" w:eastAsia="en-GB"/>
        </w:rPr>
        <w:t>MS A</w:t>
      </w:r>
      <w:r w:rsidR="00F75DD0">
        <w:rPr>
          <w:lang w:val="en-GB" w:eastAsia="en-GB"/>
        </w:rPr>
        <w:t>IML</w:t>
      </w:r>
      <w:r w:rsidRPr="0052755F">
        <w:rPr>
          <w:lang w:val="en-GB" w:eastAsia="en-GB"/>
        </w:rPr>
        <w:t xml:space="preserve"> is subject to </w:t>
      </w:r>
      <w:r w:rsidR="00002ED8" w:rsidRPr="0052755F">
        <w:rPr>
          <w:lang w:val="en-GB" w:eastAsia="en-GB"/>
        </w:rPr>
        <w:t xml:space="preserve">the basic </w:t>
      </w:r>
      <w:r w:rsidR="00ED71AC">
        <w:rPr>
          <w:lang w:val="en-GB" w:eastAsia="en-GB"/>
        </w:rPr>
        <w:t xml:space="preserve">and standard </w:t>
      </w:r>
      <w:r w:rsidR="00A828CE" w:rsidRPr="0052755F">
        <w:rPr>
          <w:lang w:val="en-GB" w:eastAsia="en-GB"/>
        </w:rPr>
        <w:t xml:space="preserve">requirements </w:t>
      </w:r>
      <w:r w:rsidRPr="0052755F">
        <w:rPr>
          <w:lang w:val="en-GB" w:eastAsia="en-GB"/>
        </w:rPr>
        <w:t xml:space="preserve">of the MIFIDPRU Remuneration </w:t>
      </w:r>
      <w:r w:rsidR="00196126" w:rsidRPr="0052755F">
        <w:rPr>
          <w:lang w:val="en-GB" w:eastAsia="en-GB"/>
        </w:rPr>
        <w:t>C</w:t>
      </w:r>
      <w:r w:rsidRPr="0052755F">
        <w:rPr>
          <w:lang w:val="en-GB" w:eastAsia="en-GB"/>
        </w:rPr>
        <w:t>ode</w:t>
      </w:r>
      <w:r w:rsidR="00EB08E6" w:rsidRPr="0052755F">
        <w:rPr>
          <w:lang w:val="en-GB" w:eastAsia="en-GB"/>
        </w:rPr>
        <w:t xml:space="preserve"> (as laid down in Chapter 19G of the Senior management arrangements, Systems and Controls sourcebook in the FCA Handbook (“SYSC”))</w:t>
      </w:r>
      <w:r w:rsidRPr="0052755F">
        <w:rPr>
          <w:lang w:val="en-GB" w:eastAsia="en-GB"/>
        </w:rPr>
        <w:t>.</w:t>
      </w:r>
      <w:r w:rsidR="002E2BCA">
        <w:rPr>
          <w:lang w:val="en-GB" w:eastAsia="en-GB"/>
        </w:rPr>
        <w:t xml:space="preserve"> </w:t>
      </w:r>
      <w:r w:rsidRPr="0052755F">
        <w:rPr>
          <w:lang w:val="en-GB" w:eastAsia="en-GB"/>
        </w:rPr>
        <w:t xml:space="preserve">The purpose of </w:t>
      </w:r>
      <w:r w:rsidR="00936D28">
        <w:rPr>
          <w:lang w:val="en-GB" w:eastAsia="en-GB"/>
        </w:rPr>
        <w:t xml:space="preserve">the </w:t>
      </w:r>
      <w:r w:rsidR="00FB7C46" w:rsidRPr="0052755F">
        <w:rPr>
          <w:lang w:val="en-GB" w:eastAsia="en-GB"/>
        </w:rPr>
        <w:t>remuneration requirements</w:t>
      </w:r>
      <w:r w:rsidRPr="0052755F">
        <w:rPr>
          <w:lang w:val="en-GB" w:eastAsia="en-GB"/>
        </w:rPr>
        <w:t xml:space="preserve"> </w:t>
      </w:r>
      <w:r w:rsidR="00936D28">
        <w:rPr>
          <w:lang w:val="en-GB" w:eastAsia="en-GB"/>
        </w:rPr>
        <w:t>is</w:t>
      </w:r>
      <w:r w:rsidRPr="0052755F">
        <w:rPr>
          <w:lang w:val="en-GB" w:eastAsia="en-GB"/>
        </w:rPr>
        <w:t xml:space="preserve"> to:</w:t>
      </w:r>
    </w:p>
    <w:p w14:paraId="664DE999" w14:textId="77777777" w:rsidR="0096785E" w:rsidRPr="000C2830" w:rsidRDefault="0096785E" w:rsidP="00B17FDE">
      <w:pPr>
        <w:pStyle w:val="ListParagraph"/>
        <w:numPr>
          <w:ilvl w:val="0"/>
          <w:numId w:val="3"/>
        </w:numPr>
        <w:jc w:val="both"/>
        <w:rPr>
          <w:lang w:val="en-GB" w:eastAsia="en-GB"/>
        </w:rPr>
      </w:pPr>
      <w:r w:rsidRPr="000C2830">
        <w:rPr>
          <w:lang w:val="en-GB" w:eastAsia="en-GB"/>
        </w:rPr>
        <w:t>Promote effective risk management in the long-term interests of the Firm and its clients;</w:t>
      </w:r>
    </w:p>
    <w:p w14:paraId="56078C44" w14:textId="77777777" w:rsidR="0096785E" w:rsidRPr="000C2830" w:rsidRDefault="0096785E" w:rsidP="00B17FDE">
      <w:pPr>
        <w:pStyle w:val="ListParagraph"/>
        <w:numPr>
          <w:ilvl w:val="0"/>
          <w:numId w:val="3"/>
        </w:numPr>
        <w:jc w:val="both"/>
        <w:rPr>
          <w:lang w:val="en-GB" w:eastAsia="en-GB"/>
        </w:rPr>
      </w:pPr>
      <w:r w:rsidRPr="000C2830">
        <w:rPr>
          <w:lang w:val="en-GB" w:eastAsia="en-GB"/>
        </w:rPr>
        <w:t>Ensure alignment between risk and individual reward;</w:t>
      </w:r>
    </w:p>
    <w:p w14:paraId="7A9CE5F1" w14:textId="77777777" w:rsidR="0096785E" w:rsidRPr="000C2830" w:rsidRDefault="0096785E" w:rsidP="00B17FDE">
      <w:pPr>
        <w:pStyle w:val="ListParagraph"/>
        <w:numPr>
          <w:ilvl w:val="0"/>
          <w:numId w:val="3"/>
        </w:numPr>
        <w:jc w:val="both"/>
        <w:rPr>
          <w:lang w:val="en-GB" w:eastAsia="en-GB"/>
        </w:rPr>
      </w:pPr>
      <w:r w:rsidRPr="000C2830">
        <w:rPr>
          <w:lang w:val="en-GB" w:eastAsia="en-GB"/>
        </w:rPr>
        <w:t>Support positive behaviours and healthy firm cultures; and</w:t>
      </w:r>
    </w:p>
    <w:p w14:paraId="702E3533" w14:textId="77777777" w:rsidR="0096785E" w:rsidRPr="000C2830" w:rsidRDefault="0096785E" w:rsidP="00B17FDE">
      <w:pPr>
        <w:pStyle w:val="ListParagraph"/>
        <w:numPr>
          <w:ilvl w:val="0"/>
          <w:numId w:val="3"/>
        </w:numPr>
        <w:jc w:val="both"/>
        <w:rPr>
          <w:lang w:val="en-GB" w:eastAsia="en-GB"/>
        </w:rPr>
      </w:pPr>
      <w:r w:rsidRPr="000C2830">
        <w:rPr>
          <w:lang w:val="en-GB" w:eastAsia="en-GB"/>
        </w:rPr>
        <w:t>Discourage behaviours that can lead to misconduct and poor customer outcomes.</w:t>
      </w:r>
    </w:p>
    <w:p w14:paraId="37BBE009" w14:textId="077F3C40" w:rsidR="0096785E" w:rsidRPr="0052755F" w:rsidRDefault="0096785E" w:rsidP="0096785E">
      <w:pPr>
        <w:jc w:val="both"/>
        <w:rPr>
          <w:lang w:val="en-GB" w:eastAsia="en-GB"/>
        </w:rPr>
      </w:pPr>
      <w:r w:rsidRPr="0052755F">
        <w:rPr>
          <w:lang w:val="en-GB" w:eastAsia="en-GB"/>
        </w:rPr>
        <w:t xml:space="preserve">The objective of </w:t>
      </w:r>
      <w:r w:rsidR="00531412">
        <w:rPr>
          <w:lang w:val="en-GB" w:eastAsia="en-GB"/>
        </w:rPr>
        <w:t>MS A</w:t>
      </w:r>
      <w:r w:rsidR="00F75DD0">
        <w:rPr>
          <w:lang w:val="en-GB" w:eastAsia="en-GB"/>
        </w:rPr>
        <w:t>IML</w:t>
      </w:r>
      <w:r w:rsidRPr="0052755F">
        <w:rPr>
          <w:lang w:val="en-GB" w:eastAsia="en-GB"/>
        </w:rPr>
        <w:t xml:space="preserve">’s remuneration policies and practices </w:t>
      </w:r>
      <w:r w:rsidR="00FB7C46" w:rsidRPr="0052755F">
        <w:rPr>
          <w:lang w:val="en-GB" w:eastAsia="en-GB"/>
        </w:rPr>
        <w:t>is</w:t>
      </w:r>
      <w:r w:rsidRPr="0052755F">
        <w:rPr>
          <w:lang w:val="en-GB" w:eastAsia="en-GB"/>
        </w:rPr>
        <w:t xml:space="preserve"> to establish, implement and maintain a culture that is consistent with, and promotes, sound and effective risk management and does not encourage risk-taking which is inconsistent with the risk profile of the Firm and the services that it provides to its clients. </w:t>
      </w:r>
    </w:p>
    <w:p w14:paraId="3D8E9282" w14:textId="373712E8" w:rsidR="0096785E" w:rsidRPr="0052755F" w:rsidRDefault="0096785E" w:rsidP="0096785E">
      <w:pPr>
        <w:jc w:val="both"/>
        <w:rPr>
          <w:lang w:val="en-GB" w:eastAsia="en-GB"/>
        </w:rPr>
      </w:pPr>
      <w:r w:rsidRPr="0052755F">
        <w:rPr>
          <w:lang w:val="en-GB" w:eastAsia="en-GB"/>
        </w:rPr>
        <w:t xml:space="preserve">In addition, </w:t>
      </w:r>
      <w:r w:rsidR="00531412">
        <w:rPr>
          <w:lang w:val="en-GB" w:eastAsia="en-GB"/>
        </w:rPr>
        <w:t>MS A</w:t>
      </w:r>
      <w:r w:rsidR="00F75DD0">
        <w:rPr>
          <w:lang w:val="en-GB" w:eastAsia="en-GB"/>
        </w:rPr>
        <w:t>IML</w:t>
      </w:r>
      <w:r w:rsidRPr="0052755F">
        <w:rPr>
          <w:lang w:val="en-GB" w:eastAsia="en-GB"/>
        </w:rPr>
        <w:t xml:space="preserve"> recognises that remuneration is a key component in how the Firm attracts, </w:t>
      </w:r>
      <w:r w:rsidR="00FB7C46" w:rsidRPr="0052755F">
        <w:rPr>
          <w:lang w:val="en-GB" w:eastAsia="en-GB"/>
        </w:rPr>
        <w:t>motivates,</w:t>
      </w:r>
      <w:r w:rsidRPr="0052755F">
        <w:rPr>
          <w:lang w:val="en-GB" w:eastAsia="en-GB"/>
        </w:rPr>
        <w:t xml:space="preserve"> and retains quality staff and sustains consistently high levels of performance, </w:t>
      </w:r>
      <w:r w:rsidR="00FB7C46" w:rsidRPr="0052755F">
        <w:rPr>
          <w:lang w:val="en-GB" w:eastAsia="en-GB"/>
        </w:rPr>
        <w:t>productivity,</w:t>
      </w:r>
      <w:r w:rsidRPr="0052755F">
        <w:rPr>
          <w:lang w:val="en-GB" w:eastAsia="en-GB"/>
        </w:rPr>
        <w:t xml:space="preserve"> and results. As such, the Firm’s remuneration philosophy is also grounded in the belief that its people are the most important asset and</w:t>
      </w:r>
      <w:r w:rsidR="00FA6F71" w:rsidRPr="0052755F">
        <w:rPr>
          <w:lang w:val="en-GB" w:eastAsia="en-GB"/>
        </w:rPr>
        <w:t xml:space="preserve"> provide its</w:t>
      </w:r>
      <w:r w:rsidRPr="0052755F">
        <w:rPr>
          <w:lang w:val="en-GB" w:eastAsia="en-GB"/>
        </w:rPr>
        <w:t xml:space="preserve"> greatest competitive advantage.</w:t>
      </w:r>
    </w:p>
    <w:p w14:paraId="121CF9BE" w14:textId="56DD15D6" w:rsidR="00D94007" w:rsidRDefault="00531412" w:rsidP="0096785E">
      <w:pPr>
        <w:jc w:val="both"/>
        <w:rPr>
          <w:lang w:val="en-GB" w:eastAsia="en-GB"/>
        </w:rPr>
      </w:pPr>
      <w:r>
        <w:rPr>
          <w:lang w:val="en-GB" w:eastAsia="en-GB"/>
        </w:rPr>
        <w:t>MS A</w:t>
      </w:r>
      <w:r w:rsidR="00F75DD0">
        <w:rPr>
          <w:lang w:val="en-GB" w:eastAsia="en-GB"/>
        </w:rPr>
        <w:t>IML</w:t>
      </w:r>
      <w:r w:rsidR="0096785E" w:rsidRPr="0052755F">
        <w:rPr>
          <w:lang w:val="en-GB" w:eastAsia="en-GB"/>
        </w:rPr>
        <w:t xml:space="preserve"> is committed to excellence, teamwork, ethical behaviour</w:t>
      </w:r>
      <w:r w:rsidR="00FA6F71" w:rsidRPr="0052755F">
        <w:rPr>
          <w:lang w:val="en-GB" w:eastAsia="en-GB"/>
        </w:rPr>
        <w:t>,</w:t>
      </w:r>
      <w:r w:rsidR="0096785E" w:rsidRPr="0052755F">
        <w:rPr>
          <w:lang w:val="en-GB" w:eastAsia="en-GB"/>
        </w:rPr>
        <w:t xml:space="preserve"> and the pursuit of exceptional outcomes for its clients. From a remuneration perspective, this means that performance is determined </w:t>
      </w:r>
    </w:p>
    <w:p w14:paraId="7A4B307F" w14:textId="77777777" w:rsidR="00D94007" w:rsidRDefault="00D94007" w:rsidP="0096785E">
      <w:pPr>
        <w:jc w:val="both"/>
        <w:rPr>
          <w:lang w:val="en-GB" w:eastAsia="en-GB"/>
        </w:rPr>
      </w:pPr>
    </w:p>
    <w:p w14:paraId="0B4C170D" w14:textId="77777777" w:rsidR="00D94007" w:rsidRDefault="00D94007" w:rsidP="0096785E">
      <w:pPr>
        <w:jc w:val="both"/>
        <w:rPr>
          <w:lang w:val="en-GB" w:eastAsia="en-GB"/>
        </w:rPr>
      </w:pPr>
    </w:p>
    <w:p w14:paraId="21976BE1" w14:textId="319063A9" w:rsidR="0096785E" w:rsidRPr="0052755F" w:rsidRDefault="0096785E" w:rsidP="0096785E">
      <w:pPr>
        <w:jc w:val="both"/>
        <w:rPr>
          <w:lang w:val="en-GB" w:eastAsia="en-GB"/>
        </w:rPr>
      </w:pPr>
      <w:r w:rsidRPr="0052755F">
        <w:rPr>
          <w:lang w:val="en-GB" w:eastAsia="en-GB"/>
        </w:rPr>
        <w:t xml:space="preserve">through the assessment of various factors that relate to these values, and by making considered and informed decisions that reward effort, </w:t>
      </w:r>
      <w:r w:rsidR="0052755F" w:rsidRPr="0052755F">
        <w:rPr>
          <w:lang w:val="en-GB" w:eastAsia="en-GB"/>
        </w:rPr>
        <w:t>attitude,</w:t>
      </w:r>
      <w:r w:rsidRPr="0052755F">
        <w:rPr>
          <w:lang w:val="en-GB" w:eastAsia="en-GB"/>
        </w:rPr>
        <w:t xml:space="preserve"> and results. </w:t>
      </w:r>
    </w:p>
    <w:p w14:paraId="49126ABC" w14:textId="314C8CDB" w:rsidR="0096785E" w:rsidRPr="009612BD" w:rsidRDefault="0096785E" w:rsidP="0096785E">
      <w:pPr>
        <w:jc w:val="both"/>
        <w:rPr>
          <w:b/>
          <w:bCs/>
          <w:lang w:val="en-GB" w:eastAsia="en-GB"/>
        </w:rPr>
      </w:pPr>
      <w:r w:rsidRPr="009612BD">
        <w:rPr>
          <w:b/>
          <w:bCs/>
          <w:lang w:val="en-GB" w:eastAsia="en-GB"/>
        </w:rPr>
        <w:t xml:space="preserve">Characteristics of the </w:t>
      </w:r>
      <w:r w:rsidR="00BD31A0" w:rsidRPr="009612BD">
        <w:rPr>
          <w:b/>
          <w:bCs/>
          <w:lang w:val="en-GB" w:eastAsia="en-GB"/>
        </w:rPr>
        <w:t>Firm’s R</w:t>
      </w:r>
      <w:r w:rsidRPr="009612BD">
        <w:rPr>
          <w:b/>
          <w:bCs/>
          <w:lang w:val="en-GB" w:eastAsia="en-GB"/>
        </w:rPr>
        <w:t xml:space="preserve">emuneration </w:t>
      </w:r>
      <w:r w:rsidR="00BD31A0" w:rsidRPr="009612BD">
        <w:rPr>
          <w:b/>
          <w:bCs/>
          <w:lang w:val="en-GB" w:eastAsia="en-GB"/>
        </w:rPr>
        <w:t>P</w:t>
      </w:r>
      <w:r w:rsidRPr="009612BD">
        <w:rPr>
          <w:b/>
          <w:bCs/>
          <w:lang w:val="en-GB" w:eastAsia="en-GB"/>
        </w:rPr>
        <w:t xml:space="preserve">olicy and </w:t>
      </w:r>
      <w:r w:rsidR="00E05CBF" w:rsidRPr="009612BD">
        <w:rPr>
          <w:b/>
          <w:bCs/>
          <w:lang w:val="en-GB" w:eastAsia="en-GB"/>
        </w:rPr>
        <w:t>Practices</w:t>
      </w:r>
    </w:p>
    <w:p w14:paraId="62957986" w14:textId="7A9B9E7C" w:rsidR="0096785E" w:rsidRPr="009612BD" w:rsidRDefault="0096785E" w:rsidP="0096785E">
      <w:pPr>
        <w:jc w:val="both"/>
        <w:rPr>
          <w:lang w:val="en-GB" w:eastAsia="en-GB"/>
        </w:rPr>
      </w:pPr>
      <w:r w:rsidRPr="009612BD">
        <w:rPr>
          <w:lang w:val="en-GB" w:eastAsia="en-GB"/>
        </w:rPr>
        <w:t xml:space="preserve">Remuneration at </w:t>
      </w:r>
      <w:r w:rsidR="00531412">
        <w:rPr>
          <w:lang w:val="en-GB" w:eastAsia="en-GB"/>
        </w:rPr>
        <w:t>MS A</w:t>
      </w:r>
      <w:r w:rsidR="00F75DD0">
        <w:rPr>
          <w:lang w:val="en-GB" w:eastAsia="en-GB"/>
        </w:rPr>
        <w:t>IML</w:t>
      </w:r>
      <w:r w:rsidRPr="009612BD">
        <w:rPr>
          <w:lang w:val="en-GB" w:eastAsia="en-GB"/>
        </w:rPr>
        <w:t xml:space="preserve"> is made up of fixed and variable components. The fixed component is set in line with market competitiveness at a level to attract and retain skilled staff. Variable remuneration </w:t>
      </w:r>
      <w:r w:rsidR="00264CE8" w:rsidRPr="009612BD">
        <w:rPr>
          <w:lang w:val="en-GB" w:eastAsia="en-GB"/>
        </w:rPr>
        <w:t>is</w:t>
      </w:r>
      <w:r w:rsidRPr="009612BD">
        <w:rPr>
          <w:lang w:val="en-GB" w:eastAsia="en-GB"/>
        </w:rPr>
        <w:t xml:space="preserve"> paid on a discretionary basis and </w:t>
      </w:r>
      <w:r w:rsidR="00264CE8" w:rsidRPr="009612BD">
        <w:rPr>
          <w:lang w:val="en-GB" w:eastAsia="en-GB"/>
        </w:rPr>
        <w:t>takes</w:t>
      </w:r>
      <w:r w:rsidRPr="009612BD">
        <w:rPr>
          <w:lang w:val="en-GB" w:eastAsia="en-GB"/>
        </w:rPr>
        <w:t xml:space="preserve"> into consideration the Firm’s financial performance as well as the financial performance of each business unit, and the financial and non-financial performance of the individual in contributing to the Firm’s success. All staff members are eligible to receive variable remuneration.</w:t>
      </w:r>
    </w:p>
    <w:p w14:paraId="1B63F19C" w14:textId="77777777" w:rsidR="0096785E" w:rsidRDefault="0096785E" w:rsidP="009C78C2">
      <w:pPr>
        <w:jc w:val="both"/>
        <w:rPr>
          <w:lang w:val="en-GB" w:eastAsia="en-GB"/>
        </w:rPr>
      </w:pPr>
      <w:r w:rsidRPr="009612BD">
        <w:rPr>
          <w:lang w:val="en-GB" w:eastAsia="en-GB"/>
        </w:rPr>
        <w:t>The below table summarises the financial and non-financial criteria of performance used across the Firm in assessing the level of variable remuneration to be paid:</w:t>
      </w:r>
    </w:p>
    <w:tbl>
      <w:tblPr>
        <w:tblW w:w="9351" w:type="dxa"/>
        <w:tblLook w:val="04A0" w:firstRow="1" w:lastRow="0" w:firstColumn="1" w:lastColumn="0" w:noHBand="0" w:noVBand="1"/>
      </w:tblPr>
      <w:tblGrid>
        <w:gridCol w:w="1413"/>
        <w:gridCol w:w="3827"/>
        <w:gridCol w:w="4111"/>
      </w:tblGrid>
      <w:tr w:rsidR="00A001EC" w:rsidRPr="00B50967" w14:paraId="44B17C73" w14:textId="77777777" w:rsidTr="00D15FC8">
        <w:trPr>
          <w:trHeight w:val="276"/>
        </w:trPr>
        <w:tc>
          <w:tcPr>
            <w:tcW w:w="1413"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3A349CC7" w14:textId="77777777" w:rsidR="00A001EC" w:rsidRPr="009C78C2" w:rsidRDefault="00A001EC" w:rsidP="00D15FC8">
            <w:pPr>
              <w:jc w:val="both"/>
              <w:rPr>
                <w:rFonts w:ascii="Arial" w:eastAsia="Times New Roman" w:hAnsi="Arial" w:cs="Arial"/>
                <w:color w:val="000000"/>
                <w:lang w:val="en-GB" w:eastAsia="en-GB"/>
              </w:rPr>
            </w:pPr>
            <w:r w:rsidRPr="009C78C2">
              <w:rPr>
                <w:rFonts w:ascii="Arial" w:eastAsia="Times New Roman" w:hAnsi="Arial" w:cs="Arial"/>
                <w:color w:val="000000"/>
                <w:lang w:val="en-GB" w:eastAsia="en-GB"/>
              </w:rPr>
              <w:t> </w:t>
            </w:r>
          </w:p>
        </w:tc>
        <w:tc>
          <w:tcPr>
            <w:tcW w:w="3827" w:type="dxa"/>
            <w:tcBorders>
              <w:top w:val="single" w:sz="4" w:space="0" w:color="auto"/>
              <w:left w:val="nil"/>
              <w:bottom w:val="single" w:sz="4" w:space="0" w:color="auto"/>
              <w:right w:val="single" w:sz="4" w:space="0" w:color="auto"/>
            </w:tcBorders>
            <w:shd w:val="clear" w:color="auto" w:fill="006CA9"/>
            <w:noWrap/>
            <w:vAlign w:val="bottom"/>
            <w:hideMark/>
          </w:tcPr>
          <w:p w14:paraId="0F6F6120" w14:textId="77777777" w:rsidR="00A001EC" w:rsidRPr="009C78C2" w:rsidRDefault="00A001EC" w:rsidP="00D15FC8">
            <w:pPr>
              <w:jc w:val="both"/>
              <w:rPr>
                <w:rFonts w:ascii="Arial" w:eastAsia="Times New Roman" w:hAnsi="Arial" w:cs="Arial"/>
                <w:b/>
                <w:bCs/>
                <w:color w:val="FFFFFF" w:themeColor="background1"/>
                <w:lang w:val="en-GB" w:eastAsia="en-GB"/>
              </w:rPr>
            </w:pPr>
            <w:r w:rsidRPr="009C78C2">
              <w:rPr>
                <w:rFonts w:ascii="Arial" w:eastAsia="Times New Roman" w:hAnsi="Arial" w:cs="Arial"/>
                <w:b/>
                <w:bCs/>
                <w:color w:val="FFFFFF" w:themeColor="background1"/>
                <w:lang w:val="en-GB" w:eastAsia="en-GB"/>
              </w:rPr>
              <w:t>Financial Performance Criteria</w:t>
            </w:r>
          </w:p>
        </w:tc>
        <w:tc>
          <w:tcPr>
            <w:tcW w:w="4111" w:type="dxa"/>
            <w:tcBorders>
              <w:top w:val="single" w:sz="4" w:space="0" w:color="auto"/>
              <w:left w:val="nil"/>
              <w:bottom w:val="single" w:sz="4" w:space="0" w:color="auto"/>
              <w:right w:val="single" w:sz="4" w:space="0" w:color="auto"/>
            </w:tcBorders>
            <w:shd w:val="clear" w:color="auto" w:fill="006CA9"/>
            <w:noWrap/>
            <w:vAlign w:val="bottom"/>
            <w:hideMark/>
          </w:tcPr>
          <w:p w14:paraId="3EEDD281" w14:textId="77777777" w:rsidR="00A001EC" w:rsidRPr="009C78C2" w:rsidRDefault="00A001EC" w:rsidP="00D15FC8">
            <w:pPr>
              <w:jc w:val="both"/>
              <w:rPr>
                <w:rFonts w:ascii="Arial" w:eastAsia="Times New Roman" w:hAnsi="Arial" w:cs="Arial"/>
                <w:b/>
                <w:bCs/>
                <w:color w:val="FFFFFF" w:themeColor="background1"/>
                <w:lang w:val="en-GB" w:eastAsia="en-GB"/>
              </w:rPr>
            </w:pPr>
            <w:r w:rsidRPr="009C78C2">
              <w:rPr>
                <w:rFonts w:ascii="Arial" w:eastAsia="Times New Roman" w:hAnsi="Arial" w:cs="Arial"/>
                <w:b/>
                <w:bCs/>
                <w:color w:val="FFFFFF" w:themeColor="background1"/>
                <w:lang w:val="en-GB" w:eastAsia="en-GB"/>
              </w:rPr>
              <w:t>Non-Financial Performance Criteria</w:t>
            </w:r>
          </w:p>
        </w:tc>
      </w:tr>
      <w:tr w:rsidR="00A001EC" w:rsidRPr="00B50967" w14:paraId="38B2561A" w14:textId="77777777" w:rsidTr="00D15FC8">
        <w:trPr>
          <w:trHeight w:val="276"/>
        </w:trPr>
        <w:tc>
          <w:tcPr>
            <w:tcW w:w="1413" w:type="dxa"/>
            <w:vMerge w:val="restart"/>
            <w:tcBorders>
              <w:top w:val="nil"/>
              <w:left w:val="single" w:sz="4" w:space="0" w:color="auto"/>
              <w:bottom w:val="single" w:sz="4" w:space="0" w:color="auto"/>
              <w:right w:val="single" w:sz="4" w:space="0" w:color="auto"/>
            </w:tcBorders>
            <w:shd w:val="clear" w:color="auto" w:fill="006CA9"/>
            <w:noWrap/>
            <w:vAlign w:val="center"/>
            <w:hideMark/>
          </w:tcPr>
          <w:p w14:paraId="68001C98" w14:textId="77777777" w:rsidR="00A001EC" w:rsidRPr="009C78C2" w:rsidRDefault="00A001EC" w:rsidP="00D15FC8">
            <w:pPr>
              <w:jc w:val="both"/>
              <w:rPr>
                <w:rFonts w:ascii="Arial" w:eastAsia="Times New Roman" w:hAnsi="Arial" w:cs="Arial"/>
                <w:b/>
                <w:bCs/>
                <w:color w:val="FFFFFF" w:themeColor="background1"/>
                <w:lang w:val="en-GB" w:eastAsia="en-GB"/>
              </w:rPr>
            </w:pPr>
            <w:r w:rsidRPr="009C78C2">
              <w:rPr>
                <w:rFonts w:ascii="Arial" w:eastAsia="Times New Roman" w:hAnsi="Arial" w:cs="Arial"/>
                <w:b/>
                <w:bCs/>
                <w:color w:val="FFFFFF" w:themeColor="background1"/>
                <w:lang w:val="en-GB" w:eastAsia="en-GB"/>
              </w:rPr>
              <w:t>Firm</w:t>
            </w:r>
          </w:p>
        </w:tc>
        <w:tc>
          <w:tcPr>
            <w:tcW w:w="3827" w:type="dxa"/>
            <w:tcBorders>
              <w:top w:val="nil"/>
              <w:left w:val="nil"/>
              <w:bottom w:val="single" w:sz="4" w:space="0" w:color="auto"/>
              <w:right w:val="single" w:sz="4" w:space="0" w:color="auto"/>
            </w:tcBorders>
            <w:noWrap/>
            <w:vAlign w:val="bottom"/>
            <w:hideMark/>
          </w:tcPr>
          <w:p w14:paraId="6755E4BC" w14:textId="77777777" w:rsidR="00A001EC" w:rsidRPr="009C78C2" w:rsidRDefault="00A001EC" w:rsidP="00D15FC8">
            <w:pPr>
              <w:jc w:val="both"/>
              <w:rPr>
                <w:rFonts w:ascii="Arial" w:eastAsia="Times New Roman" w:hAnsi="Arial" w:cs="Arial"/>
                <w:color w:val="000000"/>
                <w:lang w:val="en-GB" w:eastAsia="en-GB"/>
              </w:rPr>
            </w:pPr>
            <w:r>
              <w:rPr>
                <w:rFonts w:ascii="Arial" w:eastAsia="Times New Roman" w:hAnsi="Arial" w:cs="Arial"/>
                <w:color w:val="000000"/>
                <w:lang w:val="en-GB" w:eastAsia="en-GB"/>
              </w:rPr>
              <w:t xml:space="preserve">Performance against the Sharpe Ratio relative to peer group </w:t>
            </w:r>
          </w:p>
        </w:tc>
        <w:tc>
          <w:tcPr>
            <w:tcW w:w="4111" w:type="dxa"/>
            <w:tcBorders>
              <w:top w:val="nil"/>
              <w:left w:val="nil"/>
              <w:bottom w:val="single" w:sz="4" w:space="0" w:color="auto"/>
              <w:right w:val="single" w:sz="4" w:space="0" w:color="auto"/>
            </w:tcBorders>
            <w:noWrap/>
            <w:vAlign w:val="bottom"/>
            <w:hideMark/>
          </w:tcPr>
          <w:p w14:paraId="6534E141" w14:textId="7C1AF184" w:rsidR="00A001EC" w:rsidRPr="009C78C2" w:rsidRDefault="00A001EC" w:rsidP="00D15FC8">
            <w:pPr>
              <w:jc w:val="both"/>
              <w:rPr>
                <w:rFonts w:ascii="Arial" w:eastAsia="Times New Roman" w:hAnsi="Arial" w:cs="Arial"/>
                <w:color w:val="000000"/>
                <w:lang w:val="en-GB" w:eastAsia="en-GB"/>
              </w:rPr>
            </w:pPr>
            <w:r>
              <w:rPr>
                <w:rFonts w:ascii="Arial" w:eastAsia="Times New Roman" w:hAnsi="Arial" w:cs="Arial"/>
                <w:color w:val="000000"/>
                <w:lang w:val="en-GB" w:eastAsia="en-GB"/>
              </w:rPr>
              <w:t>Strategic objectives on track/met</w:t>
            </w:r>
            <w:r w:rsidR="00B22AA7">
              <w:rPr>
                <w:rFonts w:ascii="Arial" w:eastAsia="Times New Roman" w:hAnsi="Arial" w:cs="Arial"/>
                <w:color w:val="000000"/>
                <w:lang w:val="en-GB" w:eastAsia="en-GB"/>
              </w:rPr>
              <w:t>.</w:t>
            </w:r>
          </w:p>
        </w:tc>
      </w:tr>
      <w:tr w:rsidR="00A001EC" w:rsidRPr="00B50967" w14:paraId="64386F84" w14:textId="77777777" w:rsidTr="00D15FC8">
        <w:trPr>
          <w:trHeight w:val="276"/>
        </w:trPr>
        <w:tc>
          <w:tcPr>
            <w:tcW w:w="1413" w:type="dxa"/>
            <w:vMerge/>
            <w:tcBorders>
              <w:top w:val="nil"/>
              <w:left w:val="single" w:sz="4" w:space="0" w:color="auto"/>
              <w:bottom w:val="single" w:sz="4" w:space="0" w:color="auto"/>
              <w:right w:val="single" w:sz="4" w:space="0" w:color="auto"/>
            </w:tcBorders>
            <w:shd w:val="clear" w:color="auto" w:fill="006CA9"/>
            <w:vAlign w:val="center"/>
            <w:hideMark/>
          </w:tcPr>
          <w:p w14:paraId="2C9DF4F8" w14:textId="77777777" w:rsidR="00A001EC" w:rsidRPr="009C78C2" w:rsidRDefault="00A001EC" w:rsidP="00D15FC8">
            <w:pPr>
              <w:jc w:val="both"/>
              <w:rPr>
                <w:rFonts w:ascii="Arial" w:eastAsia="Times New Roman" w:hAnsi="Arial" w:cs="Arial"/>
                <w:b/>
                <w:bCs/>
                <w:color w:val="FFFFFF" w:themeColor="background1"/>
                <w:lang w:val="en-GB" w:eastAsia="en-GB"/>
              </w:rPr>
            </w:pPr>
          </w:p>
        </w:tc>
        <w:tc>
          <w:tcPr>
            <w:tcW w:w="3827" w:type="dxa"/>
            <w:tcBorders>
              <w:top w:val="nil"/>
              <w:left w:val="nil"/>
              <w:bottom w:val="single" w:sz="4" w:space="0" w:color="auto"/>
              <w:right w:val="single" w:sz="4" w:space="0" w:color="auto"/>
            </w:tcBorders>
            <w:noWrap/>
            <w:vAlign w:val="bottom"/>
            <w:hideMark/>
          </w:tcPr>
          <w:p w14:paraId="42CB998C" w14:textId="77777777" w:rsidR="00A001EC" w:rsidRPr="009C78C2" w:rsidRDefault="00A001EC" w:rsidP="00D15FC8">
            <w:pPr>
              <w:jc w:val="both"/>
              <w:rPr>
                <w:rFonts w:ascii="Arial" w:eastAsia="Times New Roman" w:hAnsi="Arial" w:cs="Arial"/>
                <w:color w:val="000000"/>
                <w:lang w:val="en-GB" w:eastAsia="en-GB"/>
              </w:rPr>
            </w:pPr>
            <w:r>
              <w:rPr>
                <w:rFonts w:ascii="Arial" w:eastAsia="Times New Roman" w:hAnsi="Arial" w:cs="Arial"/>
                <w:color w:val="000000"/>
                <w:lang w:val="en-GB" w:eastAsia="en-GB"/>
              </w:rPr>
              <w:t>Liquidity of the Firm</w:t>
            </w:r>
          </w:p>
        </w:tc>
        <w:tc>
          <w:tcPr>
            <w:tcW w:w="4111" w:type="dxa"/>
            <w:tcBorders>
              <w:top w:val="nil"/>
              <w:left w:val="nil"/>
              <w:bottom w:val="single" w:sz="4" w:space="0" w:color="auto"/>
              <w:right w:val="single" w:sz="4" w:space="0" w:color="auto"/>
            </w:tcBorders>
            <w:noWrap/>
            <w:vAlign w:val="bottom"/>
            <w:hideMark/>
          </w:tcPr>
          <w:p w14:paraId="17CE6654" w14:textId="1D6EF966" w:rsidR="00A001EC" w:rsidRPr="009C78C2" w:rsidRDefault="00A001EC" w:rsidP="00D15FC8">
            <w:pPr>
              <w:jc w:val="both"/>
              <w:rPr>
                <w:rFonts w:ascii="Arial" w:eastAsia="Times New Roman" w:hAnsi="Arial" w:cs="Arial"/>
                <w:color w:val="000000"/>
                <w:lang w:val="en-GB" w:eastAsia="en-GB"/>
              </w:rPr>
            </w:pPr>
            <w:r>
              <w:rPr>
                <w:rFonts w:ascii="Arial" w:eastAsia="Times New Roman" w:hAnsi="Arial" w:cs="Arial"/>
                <w:color w:val="000000"/>
                <w:lang w:val="en-GB" w:eastAsia="en-GB"/>
              </w:rPr>
              <w:t>Customer satisfaction and service KPIs achieved</w:t>
            </w:r>
            <w:r w:rsidR="00B22AA7">
              <w:rPr>
                <w:rFonts w:ascii="Arial" w:eastAsia="Times New Roman" w:hAnsi="Arial" w:cs="Arial"/>
                <w:color w:val="000000"/>
                <w:lang w:val="en-GB" w:eastAsia="en-GB"/>
              </w:rPr>
              <w:t>.</w:t>
            </w:r>
            <w:r>
              <w:rPr>
                <w:rFonts w:ascii="Arial" w:eastAsia="Times New Roman" w:hAnsi="Arial" w:cs="Arial"/>
                <w:color w:val="000000"/>
                <w:lang w:val="en-GB" w:eastAsia="en-GB"/>
              </w:rPr>
              <w:t xml:space="preserve"> </w:t>
            </w:r>
          </w:p>
        </w:tc>
      </w:tr>
      <w:tr w:rsidR="00A001EC" w:rsidRPr="00B50967" w14:paraId="0DC38115" w14:textId="77777777" w:rsidTr="00D15FC8">
        <w:trPr>
          <w:trHeight w:val="276"/>
        </w:trPr>
        <w:tc>
          <w:tcPr>
            <w:tcW w:w="1413" w:type="dxa"/>
            <w:vMerge/>
            <w:tcBorders>
              <w:top w:val="nil"/>
              <w:left w:val="single" w:sz="4" w:space="0" w:color="auto"/>
              <w:bottom w:val="single" w:sz="4" w:space="0" w:color="auto"/>
              <w:right w:val="single" w:sz="4" w:space="0" w:color="auto"/>
            </w:tcBorders>
            <w:shd w:val="clear" w:color="auto" w:fill="006CA9"/>
            <w:vAlign w:val="center"/>
            <w:hideMark/>
          </w:tcPr>
          <w:p w14:paraId="641B1456" w14:textId="77777777" w:rsidR="00A001EC" w:rsidRPr="009C78C2" w:rsidRDefault="00A001EC" w:rsidP="00D15FC8">
            <w:pPr>
              <w:jc w:val="both"/>
              <w:rPr>
                <w:rFonts w:ascii="Arial" w:eastAsia="Times New Roman" w:hAnsi="Arial" w:cs="Arial"/>
                <w:b/>
                <w:bCs/>
                <w:color w:val="FFFFFF" w:themeColor="background1"/>
                <w:lang w:val="en-GB" w:eastAsia="en-GB"/>
              </w:rPr>
            </w:pPr>
          </w:p>
        </w:tc>
        <w:tc>
          <w:tcPr>
            <w:tcW w:w="3827" w:type="dxa"/>
            <w:tcBorders>
              <w:top w:val="nil"/>
              <w:left w:val="nil"/>
              <w:bottom w:val="single" w:sz="4" w:space="0" w:color="auto"/>
              <w:right w:val="single" w:sz="4" w:space="0" w:color="auto"/>
            </w:tcBorders>
            <w:noWrap/>
            <w:vAlign w:val="bottom"/>
            <w:hideMark/>
          </w:tcPr>
          <w:p w14:paraId="7DE80AF8" w14:textId="77777777" w:rsidR="00A001EC" w:rsidRPr="009C78C2" w:rsidRDefault="00A001EC" w:rsidP="00D15FC8">
            <w:pPr>
              <w:jc w:val="both"/>
              <w:rPr>
                <w:rFonts w:ascii="Arial" w:eastAsia="Times New Roman" w:hAnsi="Arial" w:cs="Arial"/>
                <w:color w:val="000000"/>
                <w:lang w:val="en-GB" w:eastAsia="en-GB"/>
              </w:rPr>
            </w:pPr>
            <w:r w:rsidRPr="009C78C2">
              <w:rPr>
                <w:rFonts w:ascii="Arial" w:eastAsia="Times New Roman" w:hAnsi="Arial" w:cs="Arial"/>
                <w:color w:val="000000"/>
                <w:lang w:val="en-GB" w:eastAsia="en-GB"/>
              </w:rPr>
              <w:t> </w:t>
            </w:r>
          </w:p>
        </w:tc>
        <w:tc>
          <w:tcPr>
            <w:tcW w:w="4111" w:type="dxa"/>
            <w:tcBorders>
              <w:top w:val="nil"/>
              <w:left w:val="nil"/>
              <w:bottom w:val="single" w:sz="4" w:space="0" w:color="auto"/>
              <w:right w:val="single" w:sz="4" w:space="0" w:color="auto"/>
            </w:tcBorders>
            <w:noWrap/>
            <w:vAlign w:val="bottom"/>
            <w:hideMark/>
          </w:tcPr>
          <w:p w14:paraId="49F9C33B" w14:textId="77777777" w:rsidR="00A001EC" w:rsidRPr="009C78C2" w:rsidRDefault="00A001EC" w:rsidP="00D15FC8">
            <w:pPr>
              <w:jc w:val="both"/>
              <w:rPr>
                <w:rFonts w:ascii="Arial" w:eastAsia="Times New Roman" w:hAnsi="Arial" w:cs="Arial"/>
                <w:color w:val="000000"/>
                <w:lang w:val="en-GB" w:eastAsia="en-GB"/>
              </w:rPr>
            </w:pPr>
            <w:r>
              <w:rPr>
                <w:rFonts w:ascii="Arial" w:eastAsia="Times New Roman" w:hAnsi="Arial" w:cs="Arial"/>
                <w:color w:val="000000"/>
                <w:lang w:val="en-GB" w:eastAsia="en-GB"/>
              </w:rPr>
              <w:t>Adherence to regulations, tolerances &amp; client mandates</w:t>
            </w:r>
          </w:p>
        </w:tc>
      </w:tr>
      <w:tr w:rsidR="00A001EC" w:rsidRPr="00B50967" w14:paraId="4839F66C" w14:textId="77777777" w:rsidTr="00D15FC8">
        <w:trPr>
          <w:trHeight w:val="276"/>
        </w:trPr>
        <w:tc>
          <w:tcPr>
            <w:tcW w:w="1413" w:type="dxa"/>
            <w:vMerge w:val="restart"/>
            <w:tcBorders>
              <w:top w:val="nil"/>
              <w:left w:val="single" w:sz="4" w:space="0" w:color="auto"/>
              <w:bottom w:val="single" w:sz="4" w:space="0" w:color="auto"/>
              <w:right w:val="single" w:sz="4" w:space="0" w:color="auto"/>
            </w:tcBorders>
            <w:shd w:val="clear" w:color="auto" w:fill="006CA9"/>
            <w:noWrap/>
            <w:vAlign w:val="center"/>
            <w:hideMark/>
          </w:tcPr>
          <w:p w14:paraId="203BC385" w14:textId="77777777" w:rsidR="00A001EC" w:rsidRPr="009C78C2" w:rsidRDefault="00A001EC" w:rsidP="00D15FC8">
            <w:pPr>
              <w:jc w:val="both"/>
              <w:rPr>
                <w:rFonts w:ascii="Arial" w:eastAsia="Times New Roman" w:hAnsi="Arial" w:cs="Arial"/>
                <w:b/>
                <w:bCs/>
                <w:color w:val="FFFFFF" w:themeColor="background1"/>
                <w:lang w:val="en-GB" w:eastAsia="en-GB"/>
              </w:rPr>
            </w:pPr>
            <w:r w:rsidRPr="009C78C2">
              <w:rPr>
                <w:rFonts w:ascii="Arial" w:eastAsia="Times New Roman" w:hAnsi="Arial" w:cs="Arial"/>
                <w:b/>
                <w:bCs/>
                <w:color w:val="FFFFFF" w:themeColor="background1"/>
                <w:lang w:val="en-GB" w:eastAsia="en-GB"/>
              </w:rPr>
              <w:t>Individual</w:t>
            </w:r>
          </w:p>
        </w:tc>
        <w:tc>
          <w:tcPr>
            <w:tcW w:w="3827" w:type="dxa"/>
            <w:tcBorders>
              <w:top w:val="nil"/>
              <w:left w:val="nil"/>
              <w:bottom w:val="single" w:sz="4" w:space="0" w:color="auto"/>
              <w:right w:val="single" w:sz="4" w:space="0" w:color="auto"/>
            </w:tcBorders>
            <w:noWrap/>
            <w:vAlign w:val="bottom"/>
            <w:hideMark/>
          </w:tcPr>
          <w:p w14:paraId="2FC88455" w14:textId="77777777" w:rsidR="00A001EC" w:rsidRPr="009C78C2" w:rsidRDefault="00A001EC" w:rsidP="00D15FC8">
            <w:pPr>
              <w:jc w:val="both"/>
              <w:rPr>
                <w:rFonts w:ascii="Arial" w:eastAsia="Times New Roman" w:hAnsi="Arial" w:cs="Arial"/>
                <w:color w:val="000000"/>
                <w:lang w:val="en-GB" w:eastAsia="en-GB"/>
              </w:rPr>
            </w:pPr>
            <w:r w:rsidRPr="009C78C2">
              <w:rPr>
                <w:rFonts w:ascii="Arial" w:eastAsia="Times New Roman" w:hAnsi="Arial" w:cs="Arial"/>
                <w:color w:val="000000"/>
                <w:lang w:val="en-GB" w:eastAsia="en-GB"/>
              </w:rPr>
              <w:t> </w:t>
            </w:r>
            <w:r>
              <w:rPr>
                <w:rFonts w:ascii="Arial" w:eastAsia="Times New Roman" w:hAnsi="Arial" w:cs="Arial"/>
                <w:color w:val="000000"/>
                <w:lang w:val="en-GB" w:eastAsia="en-GB"/>
              </w:rPr>
              <w:t>N/A</w:t>
            </w:r>
          </w:p>
        </w:tc>
        <w:tc>
          <w:tcPr>
            <w:tcW w:w="4111" w:type="dxa"/>
            <w:tcBorders>
              <w:top w:val="nil"/>
              <w:left w:val="nil"/>
              <w:bottom w:val="single" w:sz="4" w:space="0" w:color="auto"/>
              <w:right w:val="single" w:sz="4" w:space="0" w:color="auto"/>
            </w:tcBorders>
            <w:noWrap/>
            <w:vAlign w:val="bottom"/>
            <w:hideMark/>
          </w:tcPr>
          <w:p w14:paraId="3A898181" w14:textId="77777777" w:rsidR="00A001EC" w:rsidRPr="009C78C2" w:rsidRDefault="00A001EC" w:rsidP="00D15FC8">
            <w:pPr>
              <w:jc w:val="both"/>
              <w:rPr>
                <w:rFonts w:ascii="Arial" w:eastAsia="Times New Roman" w:hAnsi="Arial" w:cs="Arial"/>
                <w:color w:val="000000"/>
                <w:lang w:val="en-GB" w:eastAsia="en-GB"/>
              </w:rPr>
            </w:pPr>
            <w:r>
              <w:rPr>
                <w:rFonts w:ascii="Arial" w:eastAsia="Times New Roman" w:hAnsi="Arial" w:cs="Arial"/>
                <w:color w:val="000000"/>
                <w:lang w:val="en-GB" w:eastAsia="en-GB"/>
              </w:rPr>
              <w:t>Successful completion of personal Objectives.</w:t>
            </w:r>
          </w:p>
        </w:tc>
      </w:tr>
      <w:tr w:rsidR="00A001EC" w:rsidRPr="00B50967" w14:paraId="48813BBA" w14:textId="77777777" w:rsidTr="00D15FC8">
        <w:trPr>
          <w:trHeight w:val="276"/>
        </w:trPr>
        <w:tc>
          <w:tcPr>
            <w:tcW w:w="1413" w:type="dxa"/>
            <w:vMerge/>
            <w:tcBorders>
              <w:top w:val="nil"/>
              <w:left w:val="single" w:sz="4" w:space="0" w:color="auto"/>
              <w:bottom w:val="single" w:sz="4" w:space="0" w:color="auto"/>
              <w:right w:val="single" w:sz="4" w:space="0" w:color="auto"/>
            </w:tcBorders>
            <w:shd w:val="clear" w:color="auto" w:fill="006CA9"/>
            <w:vAlign w:val="center"/>
            <w:hideMark/>
          </w:tcPr>
          <w:p w14:paraId="72AF6ECA" w14:textId="77777777" w:rsidR="00A001EC" w:rsidRPr="009C78C2" w:rsidRDefault="00A001EC" w:rsidP="00D15FC8">
            <w:pPr>
              <w:jc w:val="both"/>
              <w:rPr>
                <w:rFonts w:ascii="Arial" w:eastAsia="Times New Roman" w:hAnsi="Arial" w:cs="Arial"/>
                <w:b/>
                <w:bCs/>
                <w:color w:val="000000"/>
                <w:lang w:val="en-GB" w:eastAsia="en-GB"/>
              </w:rPr>
            </w:pPr>
          </w:p>
        </w:tc>
        <w:tc>
          <w:tcPr>
            <w:tcW w:w="3827" w:type="dxa"/>
            <w:tcBorders>
              <w:top w:val="nil"/>
              <w:left w:val="nil"/>
              <w:bottom w:val="single" w:sz="4" w:space="0" w:color="auto"/>
              <w:right w:val="single" w:sz="4" w:space="0" w:color="auto"/>
            </w:tcBorders>
            <w:noWrap/>
            <w:vAlign w:val="bottom"/>
            <w:hideMark/>
          </w:tcPr>
          <w:p w14:paraId="4F3A2841" w14:textId="77777777" w:rsidR="00A001EC" w:rsidRPr="009C78C2" w:rsidRDefault="00A001EC" w:rsidP="00D15FC8">
            <w:pPr>
              <w:jc w:val="both"/>
              <w:rPr>
                <w:rFonts w:ascii="Arial" w:eastAsia="Times New Roman" w:hAnsi="Arial" w:cs="Arial"/>
                <w:color w:val="000000"/>
                <w:lang w:val="en-GB" w:eastAsia="en-GB"/>
              </w:rPr>
            </w:pPr>
            <w:r w:rsidRPr="009C78C2">
              <w:rPr>
                <w:rFonts w:ascii="Arial" w:eastAsia="Times New Roman" w:hAnsi="Arial" w:cs="Arial"/>
                <w:color w:val="000000"/>
                <w:lang w:val="en-GB" w:eastAsia="en-GB"/>
              </w:rPr>
              <w:t> </w:t>
            </w:r>
          </w:p>
        </w:tc>
        <w:tc>
          <w:tcPr>
            <w:tcW w:w="4111" w:type="dxa"/>
            <w:tcBorders>
              <w:top w:val="nil"/>
              <w:left w:val="nil"/>
              <w:bottom w:val="single" w:sz="4" w:space="0" w:color="auto"/>
              <w:right w:val="single" w:sz="4" w:space="0" w:color="auto"/>
            </w:tcBorders>
            <w:noWrap/>
            <w:vAlign w:val="bottom"/>
            <w:hideMark/>
          </w:tcPr>
          <w:p w14:paraId="05271C9C" w14:textId="77777777" w:rsidR="00A001EC" w:rsidRPr="009C78C2" w:rsidRDefault="00A001EC" w:rsidP="00D15FC8">
            <w:pPr>
              <w:jc w:val="both"/>
              <w:rPr>
                <w:rFonts w:ascii="Arial" w:eastAsia="Times New Roman" w:hAnsi="Arial" w:cs="Arial"/>
                <w:color w:val="000000"/>
                <w:lang w:val="en-GB" w:eastAsia="en-GB"/>
              </w:rPr>
            </w:pPr>
            <w:r>
              <w:rPr>
                <w:rFonts w:ascii="Arial" w:eastAsia="Times New Roman" w:hAnsi="Arial" w:cs="Arial"/>
                <w:color w:val="000000"/>
                <w:lang w:val="en-GB" w:eastAsia="en-GB"/>
              </w:rPr>
              <w:t>Demonstration of conduct in accordance with Firm’s expectations of behaviour. No misconduct or “red conduct” flags</w:t>
            </w:r>
          </w:p>
        </w:tc>
      </w:tr>
    </w:tbl>
    <w:p w14:paraId="12846276" w14:textId="3F1C02E4" w:rsidR="005C3EDE" w:rsidRDefault="00531412" w:rsidP="003D0666">
      <w:pPr>
        <w:jc w:val="both"/>
        <w:rPr>
          <w:color w:val="FF0000"/>
          <w:highlight w:val="yellow"/>
          <w:lang w:val="en-GB" w:eastAsia="en-GB"/>
        </w:rPr>
      </w:pPr>
      <w:r>
        <w:rPr>
          <w:lang w:val="en-GB" w:eastAsia="en-GB"/>
        </w:rPr>
        <w:t>MS A</w:t>
      </w:r>
      <w:r w:rsidR="00F75DD0">
        <w:rPr>
          <w:lang w:val="en-GB" w:eastAsia="en-GB"/>
        </w:rPr>
        <w:t>IML</w:t>
      </w:r>
      <w:r w:rsidR="005C3EDE" w:rsidRPr="005C3EDE">
        <w:rPr>
          <w:lang w:val="en-GB" w:eastAsia="en-GB"/>
        </w:rPr>
        <w:t>’s policy includes a framework for assessing the level of remuneration to be paid</w:t>
      </w:r>
      <w:r w:rsidR="005C3EDE">
        <w:rPr>
          <w:lang w:val="en-GB" w:eastAsia="en-GB"/>
        </w:rPr>
        <w:t xml:space="preserve"> to staff members</w:t>
      </w:r>
      <w:r w:rsidR="005C3EDE" w:rsidRPr="005C3EDE">
        <w:rPr>
          <w:lang w:val="en-GB" w:eastAsia="en-GB"/>
        </w:rPr>
        <w:t xml:space="preserve">. The framework applies both ex-ante and ex-post risk adjustment criteria to the level of remuneration paid. </w:t>
      </w:r>
    </w:p>
    <w:p w14:paraId="5971DF31" w14:textId="3D314323" w:rsidR="003D0666" w:rsidRPr="00DC2BB9" w:rsidRDefault="003D0666" w:rsidP="003D0666">
      <w:pPr>
        <w:jc w:val="both"/>
        <w:rPr>
          <w:lang w:val="en-GB" w:eastAsia="en-GB"/>
        </w:rPr>
      </w:pPr>
      <w:r w:rsidRPr="00DC2BB9">
        <w:rPr>
          <w:lang w:val="en-GB" w:eastAsia="en-GB"/>
        </w:rPr>
        <w:t xml:space="preserve">In order to identify current and future risks, on at least a quarterly basis the  KPIs, financial position, forecasts, commitments and liquidity of the Firm is assessed and reviewed by the Board with any variance is explained and remediated if necessary. </w:t>
      </w:r>
    </w:p>
    <w:p w14:paraId="4FB87F3A" w14:textId="77777777" w:rsidR="00D94007" w:rsidRDefault="00D94007" w:rsidP="003D0666">
      <w:pPr>
        <w:jc w:val="both"/>
        <w:rPr>
          <w:lang w:val="en-GB" w:eastAsia="en-GB"/>
        </w:rPr>
      </w:pPr>
    </w:p>
    <w:p w14:paraId="008C37A4" w14:textId="011CFA3C" w:rsidR="003D0666" w:rsidRPr="00DC2BB9" w:rsidRDefault="003D0666" w:rsidP="003D0666">
      <w:pPr>
        <w:jc w:val="both"/>
        <w:rPr>
          <w:lang w:val="en-GB" w:eastAsia="en-GB"/>
        </w:rPr>
      </w:pPr>
      <w:r w:rsidRPr="00DC2BB9">
        <w:rPr>
          <w:lang w:val="en-GB" w:eastAsia="en-GB"/>
        </w:rPr>
        <w:t>The Firm’s Remuneration Committee (RemCo) may apply malus or clawback in any of the following circumstances, each as determined by RemCo in its reasonable opinion:</w:t>
      </w:r>
    </w:p>
    <w:p w14:paraId="1E3F4414" w14:textId="77777777" w:rsidR="003D0666" w:rsidRPr="00DC2BB9" w:rsidRDefault="003D0666" w:rsidP="00D94007">
      <w:pPr>
        <w:jc w:val="both"/>
        <w:rPr>
          <w:lang w:val="en-GB" w:eastAsia="en-GB"/>
        </w:rPr>
      </w:pPr>
      <w:r w:rsidRPr="00DC2BB9">
        <w:rPr>
          <w:lang w:val="en-GB" w:eastAsia="en-GB"/>
        </w:rPr>
        <w:t>•</w:t>
      </w:r>
      <w:r w:rsidRPr="00DC2BB9">
        <w:rPr>
          <w:lang w:val="en-GB" w:eastAsia="en-GB"/>
        </w:rPr>
        <w:tab/>
        <w:t>material misstatement of the audited financial results;</w:t>
      </w:r>
    </w:p>
    <w:p w14:paraId="7C238144" w14:textId="77777777" w:rsidR="003D0666" w:rsidRPr="00DC2BB9" w:rsidRDefault="003D0666" w:rsidP="00D94007">
      <w:pPr>
        <w:jc w:val="both"/>
        <w:rPr>
          <w:lang w:val="en-GB" w:eastAsia="en-GB"/>
        </w:rPr>
      </w:pPr>
      <w:r w:rsidRPr="00DC2BB9">
        <w:rPr>
          <w:lang w:val="en-GB" w:eastAsia="en-GB"/>
        </w:rPr>
        <w:t>•</w:t>
      </w:r>
      <w:r w:rsidRPr="00DC2BB9">
        <w:rPr>
          <w:lang w:val="en-GB" w:eastAsia="en-GB"/>
        </w:rPr>
        <w:tab/>
        <w:t>a calculation error, resulting in a greater payment than would otherwise have been the case but for that error;</w:t>
      </w:r>
    </w:p>
    <w:p w14:paraId="7922F66A" w14:textId="77777777" w:rsidR="003D0666" w:rsidRPr="00DC2BB9" w:rsidRDefault="003D0666" w:rsidP="003D0666">
      <w:pPr>
        <w:jc w:val="both"/>
        <w:rPr>
          <w:lang w:val="en-GB" w:eastAsia="en-GB"/>
        </w:rPr>
      </w:pPr>
      <w:r w:rsidRPr="00DC2BB9">
        <w:rPr>
          <w:lang w:val="en-GB" w:eastAsia="en-GB"/>
        </w:rPr>
        <w:t>•</w:t>
      </w:r>
      <w:r w:rsidRPr="00DC2BB9">
        <w:rPr>
          <w:lang w:val="en-GB" w:eastAsia="en-GB"/>
        </w:rPr>
        <w:tab/>
        <w:t>misconduct or a “red conduct rating”;</w:t>
      </w:r>
    </w:p>
    <w:p w14:paraId="4D542789" w14:textId="77777777" w:rsidR="003D0666" w:rsidRPr="00DC2BB9" w:rsidRDefault="003D0666" w:rsidP="003D0666">
      <w:pPr>
        <w:jc w:val="both"/>
        <w:rPr>
          <w:lang w:val="en-GB" w:eastAsia="en-GB"/>
        </w:rPr>
      </w:pPr>
      <w:r w:rsidRPr="00DC2BB9">
        <w:rPr>
          <w:lang w:val="en-GB" w:eastAsia="en-GB"/>
        </w:rPr>
        <w:t>•</w:t>
      </w:r>
      <w:r w:rsidRPr="00DC2BB9">
        <w:rPr>
          <w:lang w:val="en-GB" w:eastAsia="en-GB"/>
        </w:rPr>
        <w:tab/>
        <w:t>exposure to current and future risks, such as assessment of conduct risk;</w:t>
      </w:r>
    </w:p>
    <w:p w14:paraId="307D8352" w14:textId="77777777" w:rsidR="003D0666" w:rsidRPr="00DC2BB9" w:rsidRDefault="003D0666" w:rsidP="003D0666">
      <w:pPr>
        <w:jc w:val="both"/>
        <w:rPr>
          <w:lang w:val="en-GB" w:eastAsia="en-GB"/>
        </w:rPr>
      </w:pPr>
      <w:r w:rsidRPr="00DC2BB9">
        <w:rPr>
          <w:lang w:val="en-GB" w:eastAsia="en-GB"/>
        </w:rPr>
        <w:t>•</w:t>
      </w:r>
      <w:r w:rsidRPr="00DC2BB9">
        <w:rPr>
          <w:lang w:val="en-GB" w:eastAsia="en-GB"/>
        </w:rPr>
        <w:tab/>
        <w:t>a breach of stated risk appetite, or breach of any policy or regulation as a result of an individual’s actions or omissions;</w:t>
      </w:r>
    </w:p>
    <w:p w14:paraId="5A239E61" w14:textId="780DB815" w:rsidR="003D0666" w:rsidRPr="00DC2BB9" w:rsidRDefault="003D0666" w:rsidP="003D0666">
      <w:pPr>
        <w:jc w:val="both"/>
        <w:rPr>
          <w:lang w:val="en-GB" w:eastAsia="en-GB"/>
        </w:rPr>
      </w:pPr>
      <w:r w:rsidRPr="00DC2BB9">
        <w:rPr>
          <w:lang w:val="en-GB" w:eastAsia="en-GB"/>
        </w:rPr>
        <w:t>•</w:t>
      </w:r>
      <w:r w:rsidRPr="00DC2BB9">
        <w:rPr>
          <w:lang w:val="en-GB" w:eastAsia="en-GB"/>
        </w:rPr>
        <w:tab/>
        <w:t>an instance of material corporate failure</w:t>
      </w:r>
      <w:r w:rsidR="00B22AA7">
        <w:rPr>
          <w:lang w:val="en-GB" w:eastAsia="en-GB"/>
        </w:rPr>
        <w:t>; and</w:t>
      </w:r>
    </w:p>
    <w:p w14:paraId="7A180180" w14:textId="48E4C2F8" w:rsidR="003D0666" w:rsidRPr="00DC2BB9" w:rsidRDefault="003D0666" w:rsidP="003D0666">
      <w:pPr>
        <w:jc w:val="both"/>
        <w:rPr>
          <w:lang w:val="en-GB" w:eastAsia="en-GB"/>
        </w:rPr>
      </w:pPr>
      <w:r w:rsidRPr="00DC2BB9">
        <w:rPr>
          <w:lang w:val="en-GB" w:eastAsia="en-GB"/>
        </w:rPr>
        <w:t>•</w:t>
      </w:r>
      <w:r w:rsidRPr="00DC2BB9">
        <w:rPr>
          <w:lang w:val="en-GB" w:eastAsia="en-GB"/>
        </w:rPr>
        <w:tab/>
        <w:t>otherwise where such action would be appropriate having regard to any other circumstances involving the individual or the Firm.</w:t>
      </w:r>
    </w:p>
    <w:p w14:paraId="1159491B" w14:textId="12BF349D" w:rsidR="003D0666" w:rsidRPr="00DC2BB9" w:rsidRDefault="003D0666" w:rsidP="003D0666">
      <w:pPr>
        <w:jc w:val="both"/>
        <w:rPr>
          <w:lang w:val="en-GB" w:eastAsia="en-GB"/>
        </w:rPr>
      </w:pPr>
      <w:r w:rsidRPr="00DC2BB9">
        <w:rPr>
          <w:lang w:val="en-GB" w:eastAsia="en-GB"/>
        </w:rPr>
        <w:t xml:space="preserve">Guaranteed variable remuneration (i.e. variable remuneration which is based on no additional criteria such as performance) is not supported by the firm under normal circumstances. In exceptional circumstances, the Firm may decide, with the express approval of the RemCo, to make a variable remuneration payment to support colleagues such as a “cost of living award” in economically difficult times. </w:t>
      </w:r>
    </w:p>
    <w:p w14:paraId="29565033" w14:textId="7C45E5F5" w:rsidR="003D0666" w:rsidRPr="00DC2BB9" w:rsidRDefault="003D0666" w:rsidP="003D0666">
      <w:pPr>
        <w:jc w:val="both"/>
        <w:rPr>
          <w:lang w:val="en-GB" w:eastAsia="en-GB"/>
        </w:rPr>
      </w:pPr>
      <w:r w:rsidRPr="00DC2BB9">
        <w:rPr>
          <w:lang w:val="en-GB" w:eastAsia="en-GB"/>
        </w:rPr>
        <w:t>In the event of redundancy, employees are entitled to a statutory redundancy payment, which is calculated based upon the employees age, years of service and weekly pay to arrive at the figure. However, the weekly pay is limited to a maximum of £7</w:t>
      </w:r>
      <w:r w:rsidR="00FA2C83">
        <w:rPr>
          <w:lang w:val="en-GB" w:eastAsia="en-GB"/>
        </w:rPr>
        <w:t>51</w:t>
      </w:r>
      <w:r w:rsidRPr="00DC2BB9">
        <w:rPr>
          <w:lang w:val="en-GB" w:eastAsia="en-GB"/>
        </w:rPr>
        <w:t xml:space="preserve"> per week (as at 6 April 202</w:t>
      </w:r>
      <w:r w:rsidR="00FA2C83">
        <w:rPr>
          <w:lang w:val="en-GB" w:eastAsia="en-GB"/>
        </w:rPr>
        <w:t>6</w:t>
      </w:r>
      <w:r w:rsidRPr="00DC2BB9">
        <w:rPr>
          <w:lang w:val="en-GB" w:eastAsia="en-GB"/>
        </w:rPr>
        <w:t>) and the maximum years that will be considered is 20. Years of service also depends upon the age of the employee.</w:t>
      </w:r>
    </w:p>
    <w:p w14:paraId="48A7C470" w14:textId="503203B2" w:rsidR="003D0666" w:rsidRPr="009E19BB" w:rsidRDefault="003D0666" w:rsidP="00DC2BB9">
      <w:pPr>
        <w:jc w:val="both"/>
        <w:rPr>
          <w:color w:val="FF0000"/>
          <w:highlight w:val="yellow"/>
          <w:lang w:val="en-GB" w:eastAsia="en-GB"/>
        </w:rPr>
      </w:pPr>
      <w:r w:rsidRPr="00DC2BB9">
        <w:rPr>
          <w:lang w:val="en-GB" w:eastAsia="en-GB"/>
        </w:rPr>
        <w:t>The Firm’s current approach is to offer an enhanced redundancy and the calculation is based on 3 weeks’ pay for every completed year of service up to a maximum of 52 weeks’ salary. It has been and continues to be our intention to offer enhanced redundancy terms. Employees with more than one completed year of service will be eligible.  This is not a contractual right. Severance pay is non-standard but is linked to the non-contractual redundancy policy of 3 weeks’ pay for every year of service, capped at one year. Additional variable remuneration is negotiated on a case by case basis.</w:t>
      </w:r>
    </w:p>
    <w:p w14:paraId="7BC20123" w14:textId="3BA60F15" w:rsidR="005C3EDE" w:rsidRPr="005C3EDE" w:rsidRDefault="00531412" w:rsidP="005C3EDE">
      <w:pPr>
        <w:jc w:val="both"/>
        <w:rPr>
          <w:lang w:val="en-GB" w:eastAsia="en-GB"/>
        </w:rPr>
      </w:pPr>
      <w:r>
        <w:rPr>
          <w:lang w:val="en-GB" w:eastAsia="en-GB"/>
        </w:rPr>
        <w:t>MS A</w:t>
      </w:r>
      <w:r w:rsidR="00F75DD0">
        <w:rPr>
          <w:lang w:val="en-GB" w:eastAsia="en-GB"/>
        </w:rPr>
        <w:t>IML</w:t>
      </w:r>
      <w:r w:rsidR="005C3EDE" w:rsidRPr="005C3EDE">
        <w:rPr>
          <w:lang w:val="en-GB" w:eastAsia="en-GB"/>
        </w:rPr>
        <w:t xml:space="preserve"> has set a ratio between the variable and fixed components of the total remuneration, by way of ensuring that the components are appropriately balanced and that the fixed component represents a sufficiently high proportion of the total remuneration to enable the operation of a fully flexible policy on variable remuneration. This allows for the possibility of paying no variable remuneration component, which the Firm would do in certain situations, such as where the Firm’s profitability performance is </w:t>
      </w:r>
      <w:r w:rsidR="005C3EDE" w:rsidRPr="005C3EDE">
        <w:rPr>
          <w:lang w:val="en-GB" w:eastAsia="en-GB"/>
        </w:rPr>
        <w:lastRenderedPageBreak/>
        <w:t>particularly constrained, or where there is a risk that the Firm may not be able to meet its capital or liquidity regulatory requirements.</w:t>
      </w:r>
    </w:p>
    <w:p w14:paraId="6B2AE180" w14:textId="77777777" w:rsidR="0096785E" w:rsidRPr="00E2129D" w:rsidRDefault="0096785E" w:rsidP="0096785E">
      <w:pPr>
        <w:jc w:val="both"/>
        <w:rPr>
          <w:b/>
          <w:bCs/>
          <w:lang w:val="en-GB" w:eastAsia="en-GB"/>
        </w:rPr>
      </w:pPr>
      <w:r w:rsidRPr="00E2129D">
        <w:rPr>
          <w:b/>
          <w:bCs/>
          <w:lang w:val="en-GB" w:eastAsia="en-GB"/>
        </w:rPr>
        <w:t>Governance and Oversight</w:t>
      </w:r>
    </w:p>
    <w:p w14:paraId="6719CA5B" w14:textId="6C9D6427" w:rsidR="0096785E" w:rsidRPr="00E2129D" w:rsidRDefault="0096785E" w:rsidP="0096785E">
      <w:pPr>
        <w:jc w:val="both"/>
        <w:rPr>
          <w:lang w:val="en-GB" w:eastAsia="en-GB"/>
        </w:rPr>
      </w:pPr>
      <w:r w:rsidRPr="00E2129D">
        <w:rPr>
          <w:lang w:val="en-GB" w:eastAsia="en-GB"/>
        </w:rPr>
        <w:t xml:space="preserve">The </w:t>
      </w:r>
      <w:r w:rsidR="00E2129D" w:rsidRPr="00DC2BB9">
        <w:rPr>
          <w:lang w:val="en-GB" w:eastAsia="en-GB"/>
        </w:rPr>
        <w:t>R</w:t>
      </w:r>
      <w:r w:rsidRPr="00DC2BB9">
        <w:rPr>
          <w:lang w:val="en-GB" w:eastAsia="en-GB"/>
        </w:rPr>
        <w:t xml:space="preserve">emuneration </w:t>
      </w:r>
      <w:r w:rsidR="00E2129D" w:rsidRPr="00DC2BB9">
        <w:rPr>
          <w:lang w:val="en-GB" w:eastAsia="en-GB"/>
        </w:rPr>
        <w:t>C</w:t>
      </w:r>
      <w:r w:rsidRPr="00DC2BB9">
        <w:rPr>
          <w:lang w:val="en-GB" w:eastAsia="en-GB"/>
        </w:rPr>
        <w:t>ommittee</w:t>
      </w:r>
      <w:r w:rsidR="0087543F" w:rsidRPr="00DC2BB9">
        <w:rPr>
          <w:lang w:val="en-GB" w:eastAsia="en-GB"/>
        </w:rPr>
        <w:t xml:space="preserve"> </w:t>
      </w:r>
      <w:r w:rsidRPr="00E2129D">
        <w:rPr>
          <w:lang w:val="en-GB" w:eastAsia="en-GB"/>
        </w:rPr>
        <w:t xml:space="preserve">is responsible for setting and overseeing the implementation of </w:t>
      </w:r>
      <w:r w:rsidR="00531412">
        <w:rPr>
          <w:lang w:val="en-GB" w:eastAsia="en-GB"/>
        </w:rPr>
        <w:t xml:space="preserve">MS </w:t>
      </w:r>
      <w:r w:rsidR="00F75DD0">
        <w:rPr>
          <w:lang w:val="en-GB" w:eastAsia="en-GB"/>
        </w:rPr>
        <w:t>AIML</w:t>
      </w:r>
      <w:r w:rsidRPr="00E2129D">
        <w:rPr>
          <w:lang w:val="en-GB" w:eastAsia="en-GB"/>
        </w:rPr>
        <w:t xml:space="preserve">’s remuneration policy and practices. In order to fulfil its responsibilities, the </w:t>
      </w:r>
      <w:r w:rsidR="00005A4A" w:rsidRPr="00DC2BB9">
        <w:rPr>
          <w:lang w:val="en-GB" w:eastAsia="en-GB"/>
        </w:rPr>
        <w:t>Remuneration Committee</w:t>
      </w:r>
      <w:r w:rsidRPr="00E2129D">
        <w:rPr>
          <w:lang w:val="en-GB" w:eastAsia="en-GB"/>
        </w:rPr>
        <w:t xml:space="preserve">: </w:t>
      </w:r>
    </w:p>
    <w:p w14:paraId="637503C3" w14:textId="16BA1A82" w:rsidR="0096785E" w:rsidRPr="009C0C2F" w:rsidRDefault="0096785E" w:rsidP="00B17FDE">
      <w:pPr>
        <w:pStyle w:val="ListParagraph"/>
        <w:numPr>
          <w:ilvl w:val="0"/>
          <w:numId w:val="4"/>
        </w:numPr>
        <w:jc w:val="both"/>
        <w:rPr>
          <w:lang w:val="en-GB" w:eastAsia="en-GB"/>
        </w:rPr>
      </w:pPr>
      <w:r w:rsidRPr="009C0C2F">
        <w:rPr>
          <w:lang w:val="en-GB" w:eastAsia="en-GB"/>
        </w:rPr>
        <w:t>Is appropriately staffed to enable it to exercise competent and independent judgment on remuneration policies and practices and the incentives created for managing risk, capital</w:t>
      </w:r>
      <w:r w:rsidR="009C0C2F">
        <w:rPr>
          <w:lang w:val="en-GB" w:eastAsia="en-GB"/>
        </w:rPr>
        <w:t>,</w:t>
      </w:r>
      <w:r w:rsidRPr="009C0C2F">
        <w:rPr>
          <w:lang w:val="en-GB" w:eastAsia="en-GB"/>
        </w:rPr>
        <w:t xml:space="preserve"> and liquidity</w:t>
      </w:r>
      <w:r w:rsidR="009C0C2F" w:rsidRPr="009C0C2F">
        <w:rPr>
          <w:lang w:val="en-GB" w:eastAsia="en-GB"/>
        </w:rPr>
        <w:t>.</w:t>
      </w:r>
    </w:p>
    <w:p w14:paraId="1B1E2F9A" w14:textId="2B86248E" w:rsidR="0096785E" w:rsidRPr="009C0C2F" w:rsidRDefault="0096785E" w:rsidP="00B17FDE">
      <w:pPr>
        <w:pStyle w:val="ListParagraph"/>
        <w:numPr>
          <w:ilvl w:val="0"/>
          <w:numId w:val="4"/>
        </w:numPr>
        <w:jc w:val="both"/>
        <w:rPr>
          <w:lang w:val="en-GB" w:eastAsia="en-GB"/>
        </w:rPr>
      </w:pPr>
      <w:r w:rsidRPr="009C0C2F">
        <w:rPr>
          <w:lang w:val="en-GB" w:eastAsia="en-GB"/>
        </w:rPr>
        <w:t xml:space="preserve">Prepares decisions regarding remuneration, including decisions </w:t>
      </w:r>
      <w:r w:rsidR="009C0C2F">
        <w:rPr>
          <w:lang w:val="en-GB" w:eastAsia="en-GB"/>
        </w:rPr>
        <w:t>that have</w:t>
      </w:r>
      <w:r w:rsidRPr="009C0C2F">
        <w:rPr>
          <w:lang w:val="en-GB" w:eastAsia="en-GB"/>
        </w:rPr>
        <w:t xml:space="preserve"> implications for the risk and risk management of the Firm</w:t>
      </w:r>
      <w:r w:rsidR="009C0C2F" w:rsidRPr="009C0C2F">
        <w:rPr>
          <w:lang w:val="en-GB" w:eastAsia="en-GB"/>
        </w:rPr>
        <w:t>.</w:t>
      </w:r>
    </w:p>
    <w:p w14:paraId="7014DFAA" w14:textId="74EC29A5" w:rsidR="0096785E" w:rsidRPr="009C0C2F" w:rsidRDefault="0096785E" w:rsidP="00B17FDE">
      <w:pPr>
        <w:pStyle w:val="ListParagraph"/>
        <w:numPr>
          <w:ilvl w:val="0"/>
          <w:numId w:val="4"/>
        </w:numPr>
        <w:jc w:val="both"/>
        <w:rPr>
          <w:lang w:val="en-GB" w:eastAsia="en-GB"/>
        </w:rPr>
      </w:pPr>
      <w:r w:rsidRPr="009C0C2F">
        <w:rPr>
          <w:lang w:val="en-GB" w:eastAsia="en-GB"/>
        </w:rPr>
        <w:t>Ensures that the</w:t>
      </w:r>
      <w:r w:rsidR="009C0C2F" w:rsidRPr="009C0C2F">
        <w:rPr>
          <w:lang w:val="en-GB" w:eastAsia="en-GB"/>
        </w:rPr>
        <w:t xml:space="preserve"> Firm’s</w:t>
      </w:r>
      <w:r w:rsidRPr="009C0C2F">
        <w:rPr>
          <w:lang w:val="en-GB" w:eastAsia="en-GB"/>
        </w:rPr>
        <w:t xml:space="preserve"> remuneration policy and practices take into account the public interest and the long-term interests of shareholders, investors</w:t>
      </w:r>
      <w:r w:rsidR="009C0C2F" w:rsidRPr="009C0C2F">
        <w:rPr>
          <w:lang w:val="en-GB" w:eastAsia="en-GB"/>
        </w:rPr>
        <w:t>,</w:t>
      </w:r>
      <w:r w:rsidRPr="009C0C2F">
        <w:rPr>
          <w:lang w:val="en-GB" w:eastAsia="en-GB"/>
        </w:rPr>
        <w:t xml:space="preserve"> and other stakeholders in the Firm</w:t>
      </w:r>
      <w:r w:rsidR="009C0C2F" w:rsidRPr="009C0C2F">
        <w:rPr>
          <w:lang w:val="en-GB" w:eastAsia="en-GB"/>
        </w:rPr>
        <w:t>.</w:t>
      </w:r>
    </w:p>
    <w:p w14:paraId="6BD569DA" w14:textId="23068F1C" w:rsidR="0096785E" w:rsidRPr="009C0C2F" w:rsidRDefault="0096785E" w:rsidP="00B17FDE">
      <w:pPr>
        <w:pStyle w:val="ListParagraph"/>
        <w:numPr>
          <w:ilvl w:val="0"/>
          <w:numId w:val="4"/>
        </w:numPr>
        <w:jc w:val="both"/>
        <w:rPr>
          <w:lang w:val="en-GB" w:eastAsia="en-GB"/>
        </w:rPr>
      </w:pPr>
      <w:r w:rsidRPr="009C0C2F">
        <w:rPr>
          <w:lang w:val="en-GB" w:eastAsia="en-GB"/>
        </w:rPr>
        <w:t>Ensures that the overall remuneration policy is consistent with the business strategy, objectives, values</w:t>
      </w:r>
      <w:r w:rsidR="009C0C2F" w:rsidRPr="009C0C2F">
        <w:rPr>
          <w:lang w:val="en-GB" w:eastAsia="en-GB"/>
        </w:rPr>
        <w:t>,</w:t>
      </w:r>
      <w:r w:rsidRPr="009C0C2F">
        <w:rPr>
          <w:lang w:val="en-GB" w:eastAsia="en-GB"/>
        </w:rPr>
        <w:t xml:space="preserve"> and interests of the Firm and of its clients.</w:t>
      </w:r>
    </w:p>
    <w:p w14:paraId="4F1BCDFA" w14:textId="6D182FF7" w:rsidR="0096785E" w:rsidRDefault="00531412" w:rsidP="0096785E">
      <w:pPr>
        <w:jc w:val="both"/>
        <w:rPr>
          <w:lang w:val="en-GB" w:eastAsia="en-GB"/>
        </w:rPr>
      </w:pPr>
      <w:r>
        <w:rPr>
          <w:lang w:val="en-GB" w:eastAsia="en-GB"/>
        </w:rPr>
        <w:t>MS A</w:t>
      </w:r>
      <w:r w:rsidR="00F75DD0">
        <w:rPr>
          <w:lang w:val="en-GB" w:eastAsia="en-GB"/>
        </w:rPr>
        <w:t>IML</w:t>
      </w:r>
      <w:r w:rsidR="0096785E" w:rsidRPr="00E2129D">
        <w:rPr>
          <w:lang w:val="en-GB" w:eastAsia="en-GB"/>
        </w:rPr>
        <w:t>’s remuneration policy and practices are reviewed annually by the</w:t>
      </w:r>
      <w:r w:rsidR="00840C9B">
        <w:rPr>
          <w:lang w:val="en-GB" w:eastAsia="en-GB"/>
        </w:rPr>
        <w:t xml:space="preserve"> </w:t>
      </w:r>
      <w:r w:rsidR="009C0C2F" w:rsidRPr="00DC2BB9">
        <w:rPr>
          <w:lang w:val="en-GB" w:eastAsia="en-GB"/>
        </w:rPr>
        <w:t>Remuneration Committee</w:t>
      </w:r>
      <w:r w:rsidR="00840C9B">
        <w:rPr>
          <w:lang w:val="en-GB" w:eastAsia="en-GB"/>
        </w:rPr>
        <w:t>.</w:t>
      </w:r>
    </w:p>
    <w:p w14:paraId="43D6F127" w14:textId="77777777" w:rsidR="006A5179" w:rsidRPr="006A5179" w:rsidRDefault="006A5179" w:rsidP="006A5179">
      <w:pPr>
        <w:jc w:val="both"/>
        <w:rPr>
          <w:b/>
          <w:bCs/>
          <w:lang w:val="en-GB" w:eastAsia="en-GB"/>
        </w:rPr>
      </w:pPr>
      <w:r w:rsidRPr="006A5179">
        <w:rPr>
          <w:b/>
          <w:bCs/>
          <w:lang w:val="en-GB" w:eastAsia="en-GB"/>
        </w:rPr>
        <w:t>Material Risk Takers</w:t>
      </w:r>
    </w:p>
    <w:p w14:paraId="27EE4980" w14:textId="79A94128" w:rsidR="006A5179" w:rsidRPr="006A5179" w:rsidRDefault="00531412" w:rsidP="006A5179">
      <w:pPr>
        <w:jc w:val="both"/>
        <w:rPr>
          <w:lang w:val="en-GB" w:eastAsia="en-GB"/>
        </w:rPr>
      </w:pPr>
      <w:r>
        <w:rPr>
          <w:lang w:val="en-GB" w:eastAsia="en-GB"/>
        </w:rPr>
        <w:t>MS A</w:t>
      </w:r>
      <w:r w:rsidR="00F75DD0">
        <w:rPr>
          <w:lang w:val="en-GB" w:eastAsia="en-GB"/>
        </w:rPr>
        <w:t>IML</w:t>
      </w:r>
      <w:r w:rsidR="006A5179" w:rsidRPr="006A5179">
        <w:rPr>
          <w:lang w:val="en-GB" w:eastAsia="en-GB"/>
        </w:rPr>
        <w:t xml:space="preserve"> is required to identify its material risk takers</w:t>
      </w:r>
      <w:r w:rsidR="00B270A1">
        <w:rPr>
          <w:lang w:val="en-GB" w:eastAsia="en-GB"/>
        </w:rPr>
        <w:t xml:space="preserve"> - </w:t>
      </w:r>
      <w:r w:rsidR="006A5179" w:rsidRPr="006A5179">
        <w:rPr>
          <w:lang w:val="en-GB" w:eastAsia="en-GB"/>
        </w:rPr>
        <w:t xml:space="preserve">those members of staff whose professional activities have a material impact on the risk profile of the Firm </w:t>
      </w:r>
      <w:r w:rsidR="00B270A1">
        <w:rPr>
          <w:lang w:val="en-GB" w:eastAsia="en-GB"/>
        </w:rPr>
        <w:t>(</w:t>
      </w:r>
      <w:r w:rsidR="006A5179" w:rsidRPr="006A5179">
        <w:rPr>
          <w:lang w:val="en-GB" w:eastAsia="en-GB"/>
        </w:rPr>
        <w:t>and of the assets that the Firm manages</w:t>
      </w:r>
      <w:r w:rsidR="00B270A1">
        <w:rPr>
          <w:lang w:val="en-GB" w:eastAsia="en-GB"/>
        </w:rPr>
        <w:t>)</w:t>
      </w:r>
      <w:r w:rsidR="006A5179" w:rsidRPr="006A5179">
        <w:rPr>
          <w:lang w:val="en-GB" w:eastAsia="en-GB"/>
        </w:rPr>
        <w:t xml:space="preserve">. The types of staff that have been identified as material risk takers at </w:t>
      </w:r>
      <w:r>
        <w:rPr>
          <w:lang w:val="en-GB" w:eastAsia="en-GB"/>
        </w:rPr>
        <w:t>MS A</w:t>
      </w:r>
      <w:r w:rsidR="00F75DD0">
        <w:rPr>
          <w:lang w:val="en-GB" w:eastAsia="en-GB"/>
        </w:rPr>
        <w:t>IML</w:t>
      </w:r>
      <w:r w:rsidR="006A5179" w:rsidRPr="006A5179">
        <w:rPr>
          <w:lang w:val="en-GB" w:eastAsia="en-GB"/>
        </w:rPr>
        <w:t xml:space="preserve"> are:</w:t>
      </w:r>
    </w:p>
    <w:p w14:paraId="7B866F4A" w14:textId="23A65516" w:rsidR="006A5179" w:rsidRPr="006A5179" w:rsidRDefault="006A5179" w:rsidP="00B17FDE">
      <w:pPr>
        <w:pStyle w:val="ListParagraph"/>
        <w:numPr>
          <w:ilvl w:val="0"/>
          <w:numId w:val="2"/>
        </w:numPr>
        <w:jc w:val="both"/>
        <w:rPr>
          <w:lang w:val="en-GB" w:eastAsia="en-GB"/>
        </w:rPr>
      </w:pPr>
      <w:r w:rsidRPr="006A5179">
        <w:rPr>
          <w:lang w:val="en-GB" w:eastAsia="en-GB"/>
        </w:rPr>
        <w:t>Members of the management body in its management function</w:t>
      </w:r>
      <w:r w:rsidR="00EA0D88">
        <w:rPr>
          <w:lang w:val="en-GB" w:eastAsia="en-GB"/>
        </w:rPr>
        <w:t>;</w:t>
      </w:r>
    </w:p>
    <w:p w14:paraId="6F686822" w14:textId="77777777" w:rsidR="006A5179" w:rsidRPr="006A5179" w:rsidRDefault="006A5179" w:rsidP="00B17FDE">
      <w:pPr>
        <w:pStyle w:val="ListParagraph"/>
        <w:numPr>
          <w:ilvl w:val="0"/>
          <w:numId w:val="2"/>
        </w:numPr>
        <w:jc w:val="both"/>
        <w:rPr>
          <w:lang w:val="en-GB" w:eastAsia="en-GB"/>
        </w:rPr>
      </w:pPr>
      <w:r w:rsidRPr="006A5179">
        <w:rPr>
          <w:lang w:val="en-GB" w:eastAsia="en-GB"/>
        </w:rPr>
        <w:t>Members of the senior management team;</w:t>
      </w:r>
    </w:p>
    <w:p w14:paraId="136FE31B" w14:textId="77777777" w:rsidR="006A5179" w:rsidRPr="006A5179" w:rsidRDefault="006A5179" w:rsidP="00B17FDE">
      <w:pPr>
        <w:pStyle w:val="ListParagraph"/>
        <w:numPr>
          <w:ilvl w:val="0"/>
          <w:numId w:val="2"/>
        </w:numPr>
        <w:jc w:val="both"/>
        <w:rPr>
          <w:lang w:val="en-GB" w:eastAsia="en-GB"/>
        </w:rPr>
      </w:pPr>
      <w:r w:rsidRPr="006A5179">
        <w:rPr>
          <w:lang w:val="en-GB" w:eastAsia="en-GB"/>
        </w:rPr>
        <w:t>Those with managerial responsibility for a client-facing or client-dealing business unit of the Firm;</w:t>
      </w:r>
    </w:p>
    <w:p w14:paraId="466834F0" w14:textId="77777777" w:rsidR="006A5179" w:rsidRPr="006A5179" w:rsidRDefault="006A5179" w:rsidP="00B17FDE">
      <w:pPr>
        <w:pStyle w:val="ListParagraph"/>
        <w:numPr>
          <w:ilvl w:val="0"/>
          <w:numId w:val="2"/>
        </w:numPr>
        <w:jc w:val="both"/>
        <w:rPr>
          <w:lang w:val="en-GB" w:eastAsia="en-GB"/>
        </w:rPr>
      </w:pPr>
      <w:r w:rsidRPr="006A5179">
        <w:rPr>
          <w:lang w:val="en-GB" w:eastAsia="en-GB"/>
        </w:rPr>
        <w:t>Those with managerial responsibilities for the activities of a control function</w:t>
      </w:r>
      <w:r w:rsidRPr="00EA0D88">
        <w:rPr>
          <w:vertAlign w:val="superscript"/>
        </w:rPr>
        <w:footnoteReference w:id="2"/>
      </w:r>
      <w:r w:rsidRPr="006A5179">
        <w:rPr>
          <w:lang w:val="en-GB" w:eastAsia="en-GB"/>
        </w:rPr>
        <w:t>;</w:t>
      </w:r>
    </w:p>
    <w:p w14:paraId="26C3A285" w14:textId="77777777" w:rsidR="006A5179" w:rsidRPr="006A5179" w:rsidRDefault="006A5179" w:rsidP="00B17FDE">
      <w:pPr>
        <w:pStyle w:val="ListParagraph"/>
        <w:numPr>
          <w:ilvl w:val="0"/>
          <w:numId w:val="2"/>
        </w:numPr>
        <w:jc w:val="both"/>
        <w:rPr>
          <w:lang w:val="en-GB" w:eastAsia="en-GB"/>
        </w:rPr>
      </w:pPr>
      <w:r w:rsidRPr="006A5179">
        <w:rPr>
          <w:lang w:val="en-GB" w:eastAsia="en-GB"/>
        </w:rPr>
        <w:t>Those with managerial responsibilities for the prevention of money laundering and terrorist financing;</w:t>
      </w:r>
    </w:p>
    <w:p w14:paraId="3A3E9F29" w14:textId="77777777" w:rsidR="006A5179" w:rsidRPr="006A5179" w:rsidRDefault="006A5179" w:rsidP="00B17FDE">
      <w:pPr>
        <w:pStyle w:val="ListParagraph"/>
        <w:numPr>
          <w:ilvl w:val="0"/>
          <w:numId w:val="2"/>
        </w:numPr>
        <w:jc w:val="both"/>
        <w:rPr>
          <w:lang w:val="en-GB" w:eastAsia="en-GB"/>
        </w:rPr>
      </w:pPr>
      <w:r w:rsidRPr="006A5179">
        <w:rPr>
          <w:lang w:val="en-GB" w:eastAsia="en-GB"/>
        </w:rPr>
        <w:t>Those that are responsible for managing a material risk within the Firm;</w:t>
      </w:r>
    </w:p>
    <w:p w14:paraId="0F6CAF61" w14:textId="35DA05AB" w:rsidR="006A5179" w:rsidRPr="006A5179" w:rsidRDefault="006A5179" w:rsidP="00B17FDE">
      <w:pPr>
        <w:pStyle w:val="ListParagraph"/>
        <w:numPr>
          <w:ilvl w:val="0"/>
          <w:numId w:val="2"/>
        </w:numPr>
        <w:jc w:val="both"/>
        <w:rPr>
          <w:lang w:val="en-GB" w:eastAsia="en-GB"/>
        </w:rPr>
      </w:pPr>
      <w:r w:rsidRPr="006A5179">
        <w:rPr>
          <w:lang w:val="en-GB" w:eastAsia="en-GB"/>
        </w:rPr>
        <w:t>Those that are responsible for managing information technology</w:t>
      </w:r>
      <w:r w:rsidR="00EA0D88">
        <w:rPr>
          <w:lang w:val="en-GB" w:eastAsia="en-GB"/>
        </w:rPr>
        <w:t>,</w:t>
      </w:r>
      <w:r w:rsidRPr="006A5179">
        <w:rPr>
          <w:lang w:val="en-GB" w:eastAsia="en-GB"/>
        </w:rPr>
        <w:t xml:space="preserve"> information security</w:t>
      </w:r>
      <w:r w:rsidR="00EA0D88">
        <w:rPr>
          <w:lang w:val="en-GB" w:eastAsia="en-GB"/>
        </w:rPr>
        <w:t>,</w:t>
      </w:r>
      <w:r w:rsidRPr="006A5179">
        <w:rPr>
          <w:lang w:val="en-GB" w:eastAsia="en-GB"/>
        </w:rPr>
        <w:t xml:space="preserve"> and/or outsourcing arrangements of critical or important functions; and</w:t>
      </w:r>
    </w:p>
    <w:p w14:paraId="5790DAA7" w14:textId="77777777" w:rsidR="006A5179" w:rsidRPr="006A5179" w:rsidRDefault="006A5179" w:rsidP="00B17FDE">
      <w:pPr>
        <w:pStyle w:val="ListParagraph"/>
        <w:numPr>
          <w:ilvl w:val="0"/>
          <w:numId w:val="2"/>
        </w:numPr>
        <w:jc w:val="both"/>
        <w:rPr>
          <w:lang w:val="en-GB" w:eastAsia="en-GB"/>
        </w:rPr>
      </w:pPr>
      <w:r w:rsidRPr="006A5179">
        <w:rPr>
          <w:lang w:val="en-GB" w:eastAsia="en-GB"/>
        </w:rPr>
        <w:t>Those with authority to take decisions approving or vetoing the introduction of new products.</w:t>
      </w:r>
    </w:p>
    <w:p w14:paraId="5A9EE932" w14:textId="77777777" w:rsidR="00D94007" w:rsidRDefault="00D94007" w:rsidP="0096785E">
      <w:pPr>
        <w:jc w:val="both"/>
        <w:rPr>
          <w:b/>
          <w:bCs/>
          <w:lang w:val="en-GB" w:eastAsia="en-GB"/>
        </w:rPr>
      </w:pPr>
    </w:p>
    <w:p w14:paraId="78B9D8A4" w14:textId="5E32B6E2" w:rsidR="0096785E" w:rsidRPr="009C0C2F" w:rsidRDefault="0096785E" w:rsidP="0096785E">
      <w:pPr>
        <w:jc w:val="both"/>
        <w:rPr>
          <w:b/>
          <w:bCs/>
          <w:lang w:val="en-GB" w:eastAsia="en-GB"/>
        </w:rPr>
      </w:pPr>
      <w:r w:rsidRPr="009C0C2F">
        <w:rPr>
          <w:b/>
          <w:bCs/>
          <w:lang w:val="en-GB" w:eastAsia="en-GB"/>
        </w:rPr>
        <w:lastRenderedPageBreak/>
        <w:t>Quantitative Remuneration Disclosure</w:t>
      </w:r>
    </w:p>
    <w:p w14:paraId="4D3D6CDA" w14:textId="61ADF420" w:rsidR="002E64D7" w:rsidRPr="008170D2" w:rsidRDefault="002E64D7" w:rsidP="002E64D7">
      <w:pPr>
        <w:jc w:val="both"/>
        <w:rPr>
          <w:lang w:val="en-GB" w:eastAsia="en-GB"/>
        </w:rPr>
      </w:pPr>
      <w:r w:rsidRPr="008170D2">
        <w:rPr>
          <w:lang w:val="en-GB" w:eastAsia="en-GB"/>
        </w:rPr>
        <w:t xml:space="preserve">The below table quantifies the remuneration paid to staff in the financial year </w:t>
      </w:r>
      <w:r w:rsidR="008170D2" w:rsidRPr="00512BD9">
        <w:rPr>
          <w:lang w:val="en-GB" w:eastAsia="en-GB"/>
        </w:rPr>
        <w:t>1 January 202</w:t>
      </w:r>
      <w:r w:rsidR="00FA2C83">
        <w:rPr>
          <w:lang w:val="en-GB" w:eastAsia="en-GB"/>
        </w:rPr>
        <w:t>5</w:t>
      </w:r>
      <w:r w:rsidR="008170D2" w:rsidRPr="00512BD9">
        <w:rPr>
          <w:lang w:val="en-GB" w:eastAsia="en-GB"/>
        </w:rPr>
        <w:t xml:space="preserve"> to 31 December 202</w:t>
      </w:r>
      <w:r w:rsidR="00FA2C83">
        <w:rPr>
          <w:lang w:val="en-GB" w:eastAsia="en-GB"/>
        </w:rPr>
        <w:t>5</w:t>
      </w:r>
      <w:r w:rsidRPr="008170D2">
        <w:rPr>
          <w:lang w:val="en-GB" w:eastAsia="en-GB"/>
        </w:rPr>
        <w:t xml:space="preserve">. For these purposes, ‘staff’ is defined broadly, and includes, for example, employees of the Firm itself, </w:t>
      </w:r>
      <w:r w:rsidR="00A152B9">
        <w:rPr>
          <w:lang w:val="en-GB" w:eastAsia="en-GB"/>
        </w:rPr>
        <w:t>directors</w:t>
      </w:r>
      <w:r w:rsidR="008170D2" w:rsidRPr="00512BD9">
        <w:rPr>
          <w:lang w:val="en-GB" w:eastAsia="en-GB"/>
        </w:rPr>
        <w:t>,</w:t>
      </w:r>
      <w:r w:rsidR="00A152B9">
        <w:rPr>
          <w:lang w:val="en-GB" w:eastAsia="en-GB"/>
        </w:rPr>
        <w:t xml:space="preserve"> </w:t>
      </w:r>
      <w:r w:rsidRPr="008170D2">
        <w:rPr>
          <w:lang w:val="en-GB" w:eastAsia="en-GB"/>
        </w:rPr>
        <w:t>employees of other entities in the group, employees of joint service companies, and secondees:</w:t>
      </w:r>
    </w:p>
    <w:tbl>
      <w:tblPr>
        <w:tblW w:w="9067" w:type="dxa"/>
        <w:tblLook w:val="04A0" w:firstRow="1" w:lastRow="0" w:firstColumn="1" w:lastColumn="0" w:noHBand="0" w:noVBand="1"/>
      </w:tblPr>
      <w:tblGrid>
        <w:gridCol w:w="2263"/>
        <w:gridCol w:w="1843"/>
        <w:gridCol w:w="1559"/>
        <w:gridCol w:w="1843"/>
        <w:gridCol w:w="1559"/>
      </w:tblGrid>
      <w:tr w:rsidR="002E64D7" w:rsidRPr="00804D01" w14:paraId="4D8D907A" w14:textId="77777777" w:rsidTr="00DD30EB">
        <w:trPr>
          <w:trHeight w:val="276"/>
        </w:trPr>
        <w:tc>
          <w:tcPr>
            <w:tcW w:w="9067" w:type="dxa"/>
            <w:gridSpan w:val="5"/>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4885BC17" w14:textId="697B5620" w:rsidR="002E64D7" w:rsidRPr="00C306B6" w:rsidRDefault="002E64D7" w:rsidP="007E1442">
            <w:pPr>
              <w:jc w:val="both"/>
              <w:rPr>
                <w:rFonts w:ascii="Arial" w:eastAsia="Times New Roman" w:hAnsi="Arial" w:cs="Arial"/>
                <w:b/>
                <w:bCs/>
                <w:color w:val="000000"/>
                <w:lang w:val="en-GB" w:eastAsia="en-GB"/>
              </w:rPr>
            </w:pPr>
            <w:r w:rsidRPr="00C306B6">
              <w:rPr>
                <w:rFonts w:ascii="Arial" w:eastAsia="Times New Roman" w:hAnsi="Arial" w:cs="Arial"/>
                <w:b/>
                <w:bCs/>
                <w:color w:val="FFFFFF" w:themeColor="background1"/>
                <w:lang w:val="en-GB" w:eastAsia="en-GB"/>
              </w:rPr>
              <w:t xml:space="preserve">Period: </w:t>
            </w:r>
            <w:r w:rsidR="00F10126">
              <w:rPr>
                <w:rFonts w:ascii="Arial" w:eastAsia="Times New Roman" w:hAnsi="Arial" w:cs="Arial"/>
                <w:b/>
                <w:bCs/>
                <w:color w:val="FFFFFF" w:themeColor="background1"/>
                <w:lang w:val="en-GB" w:eastAsia="en-GB"/>
              </w:rPr>
              <w:t>202</w:t>
            </w:r>
            <w:r w:rsidR="00FA2C83">
              <w:rPr>
                <w:rFonts w:ascii="Arial" w:eastAsia="Times New Roman" w:hAnsi="Arial" w:cs="Arial"/>
                <w:b/>
                <w:bCs/>
                <w:color w:val="FFFFFF" w:themeColor="background1"/>
                <w:lang w:val="en-GB" w:eastAsia="en-GB"/>
              </w:rPr>
              <w:t>5</w:t>
            </w:r>
          </w:p>
        </w:tc>
      </w:tr>
      <w:tr w:rsidR="002E64D7" w:rsidRPr="00804D01" w14:paraId="1D397EFC" w14:textId="77777777" w:rsidTr="0037401C">
        <w:trPr>
          <w:trHeight w:val="276"/>
        </w:trPr>
        <w:tc>
          <w:tcPr>
            <w:tcW w:w="2263"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4AEC7528" w14:textId="77777777" w:rsidR="002E64D7" w:rsidRPr="00C306B6" w:rsidRDefault="002E64D7" w:rsidP="007E1442">
            <w:pPr>
              <w:jc w:val="both"/>
              <w:rPr>
                <w:rFonts w:ascii="Arial" w:eastAsia="Times New Roman" w:hAnsi="Arial" w:cs="Arial"/>
                <w:color w:val="000000"/>
                <w:lang w:val="en-GB" w:eastAsia="en-GB"/>
              </w:rPr>
            </w:pPr>
            <w:r w:rsidRPr="00C306B6">
              <w:rPr>
                <w:rFonts w:ascii="Arial" w:eastAsia="Times New Roman" w:hAnsi="Arial" w:cs="Arial"/>
                <w:color w:val="000000"/>
                <w:lang w:val="en-GB" w:eastAsia="en-GB"/>
              </w:rPr>
              <w:t> </w:t>
            </w:r>
          </w:p>
        </w:tc>
        <w:tc>
          <w:tcPr>
            <w:tcW w:w="1843"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6C575B64" w14:textId="77777777" w:rsidR="002E64D7" w:rsidRPr="00C306B6" w:rsidRDefault="002E64D7" w:rsidP="007E1442">
            <w:pPr>
              <w:jc w:val="both"/>
              <w:rPr>
                <w:rFonts w:ascii="Arial" w:eastAsia="Times New Roman" w:hAnsi="Arial" w:cs="Arial"/>
                <w:color w:val="000000"/>
                <w:lang w:val="en-GB" w:eastAsia="en-GB"/>
              </w:rPr>
            </w:pPr>
            <w:r w:rsidRPr="00C306B6">
              <w:rPr>
                <w:rFonts w:ascii="Arial" w:eastAsia="Times New Roman" w:hAnsi="Arial" w:cs="Arial"/>
                <w:color w:val="000000"/>
                <w:lang w:val="en-GB"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6E59FFB0" w14:textId="77777777" w:rsidR="002E64D7" w:rsidRPr="00C306B6" w:rsidRDefault="002E64D7" w:rsidP="007E1442">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Senior Management</w:t>
            </w:r>
          </w:p>
        </w:tc>
        <w:tc>
          <w:tcPr>
            <w:tcW w:w="1843"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0DB30697" w14:textId="455761F1" w:rsidR="002E64D7" w:rsidRPr="00C306B6" w:rsidRDefault="002E64D7" w:rsidP="007E1442">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 xml:space="preserve">Other </w:t>
            </w:r>
            <w:r w:rsidR="008E67BF" w:rsidRPr="00C306B6">
              <w:rPr>
                <w:rFonts w:ascii="Arial" w:eastAsia="Times New Roman" w:hAnsi="Arial" w:cs="Arial"/>
                <w:b/>
                <w:bCs/>
                <w:color w:val="FFFFFF" w:themeColor="background1"/>
                <w:lang w:val="en-GB" w:eastAsia="en-GB"/>
              </w:rPr>
              <w:t>M</w:t>
            </w:r>
            <w:r w:rsidRPr="00C306B6">
              <w:rPr>
                <w:rFonts w:ascii="Arial" w:eastAsia="Times New Roman" w:hAnsi="Arial" w:cs="Arial"/>
                <w:b/>
                <w:bCs/>
                <w:color w:val="FFFFFF" w:themeColor="background1"/>
                <w:lang w:val="en-GB" w:eastAsia="en-GB"/>
              </w:rPr>
              <w:t xml:space="preserve">aterial </w:t>
            </w:r>
            <w:r w:rsidR="008E67BF" w:rsidRPr="00C306B6">
              <w:rPr>
                <w:rFonts w:ascii="Arial" w:eastAsia="Times New Roman" w:hAnsi="Arial" w:cs="Arial"/>
                <w:b/>
                <w:bCs/>
                <w:color w:val="FFFFFF" w:themeColor="background1"/>
                <w:lang w:val="en-GB" w:eastAsia="en-GB"/>
              </w:rPr>
              <w:t>R</w:t>
            </w:r>
            <w:r w:rsidRPr="00C306B6">
              <w:rPr>
                <w:rFonts w:ascii="Arial" w:eastAsia="Times New Roman" w:hAnsi="Arial" w:cs="Arial"/>
                <w:b/>
                <w:bCs/>
                <w:color w:val="FFFFFF" w:themeColor="background1"/>
                <w:lang w:val="en-GB" w:eastAsia="en-GB"/>
              </w:rPr>
              <w:t xml:space="preserve">isk </w:t>
            </w:r>
            <w:r w:rsidR="008E67BF" w:rsidRPr="00C306B6">
              <w:rPr>
                <w:rFonts w:ascii="Arial" w:eastAsia="Times New Roman" w:hAnsi="Arial" w:cs="Arial"/>
                <w:b/>
                <w:bCs/>
                <w:color w:val="FFFFFF" w:themeColor="background1"/>
                <w:lang w:val="en-GB" w:eastAsia="en-GB"/>
              </w:rPr>
              <w:t>T</w:t>
            </w:r>
            <w:r w:rsidRPr="00C306B6">
              <w:rPr>
                <w:rFonts w:ascii="Arial" w:eastAsia="Times New Roman" w:hAnsi="Arial" w:cs="Arial"/>
                <w:b/>
                <w:bCs/>
                <w:color w:val="FFFFFF" w:themeColor="background1"/>
                <w:lang w:val="en-GB" w:eastAsia="en-GB"/>
              </w:rPr>
              <w:t>akers</w:t>
            </w:r>
          </w:p>
        </w:tc>
        <w:tc>
          <w:tcPr>
            <w:tcW w:w="1559"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281087E1" w14:textId="1676B318" w:rsidR="002E64D7" w:rsidRPr="00C306B6" w:rsidRDefault="002E64D7" w:rsidP="007E1442">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 xml:space="preserve">Other </w:t>
            </w:r>
            <w:r w:rsidR="008E67BF" w:rsidRPr="00C306B6">
              <w:rPr>
                <w:rFonts w:ascii="Arial" w:eastAsia="Times New Roman" w:hAnsi="Arial" w:cs="Arial"/>
                <w:b/>
                <w:bCs/>
                <w:color w:val="FFFFFF" w:themeColor="background1"/>
                <w:lang w:val="en-GB" w:eastAsia="en-GB"/>
              </w:rPr>
              <w:t>S</w:t>
            </w:r>
            <w:r w:rsidRPr="00C306B6">
              <w:rPr>
                <w:rFonts w:ascii="Arial" w:eastAsia="Times New Roman" w:hAnsi="Arial" w:cs="Arial"/>
                <w:b/>
                <w:bCs/>
                <w:color w:val="FFFFFF" w:themeColor="background1"/>
                <w:lang w:val="en-GB" w:eastAsia="en-GB"/>
              </w:rPr>
              <w:t>taff</w:t>
            </w:r>
          </w:p>
        </w:tc>
      </w:tr>
      <w:tr w:rsidR="00063A43" w:rsidRPr="00804D01" w14:paraId="2CB060C6" w14:textId="77777777" w:rsidTr="00535DDF">
        <w:trPr>
          <w:trHeight w:val="276"/>
        </w:trPr>
        <w:tc>
          <w:tcPr>
            <w:tcW w:w="4106" w:type="dxa"/>
            <w:gridSpan w:val="2"/>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41C93E85" w14:textId="54697866" w:rsidR="00063A43" w:rsidRPr="00C306B6" w:rsidRDefault="00063A43" w:rsidP="007E1442">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Total Number of Material Risk Takers</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3A21DF0" w14:textId="7199BFDF" w:rsidR="00063A43" w:rsidRPr="00C306B6" w:rsidRDefault="00063A43" w:rsidP="007E1442">
            <w:pPr>
              <w:jc w:val="both"/>
              <w:rPr>
                <w:rFonts w:ascii="Arial" w:eastAsia="Times New Roman" w:hAnsi="Arial" w:cs="Arial"/>
                <w:color w:val="000000"/>
                <w:lang w:val="en-GB" w:eastAsia="en-GB"/>
              </w:rPr>
            </w:pPr>
            <w:r>
              <w:rPr>
                <w:rFonts w:ascii="Arial" w:eastAsia="Times New Roman" w:hAnsi="Arial" w:cs="Arial"/>
                <w:color w:val="000000"/>
                <w:lang w:val="en-GB" w:eastAsia="en-GB"/>
              </w:rPr>
              <w:t>15</w:t>
            </w:r>
          </w:p>
        </w:tc>
        <w:tc>
          <w:tcPr>
            <w:tcW w:w="1843" w:type="dxa"/>
            <w:tcBorders>
              <w:top w:val="single" w:sz="4" w:space="0" w:color="auto"/>
              <w:left w:val="single" w:sz="4" w:space="0" w:color="auto"/>
              <w:bottom w:val="single" w:sz="4" w:space="0" w:color="auto"/>
              <w:right w:val="single" w:sz="4" w:space="0" w:color="auto"/>
            </w:tcBorders>
            <w:vAlign w:val="bottom"/>
          </w:tcPr>
          <w:p w14:paraId="60705E43" w14:textId="53075298" w:rsidR="00063A43" w:rsidRPr="00C306B6" w:rsidRDefault="00063A43" w:rsidP="007E1442">
            <w:pPr>
              <w:jc w:val="both"/>
              <w:rPr>
                <w:rFonts w:ascii="Arial" w:eastAsia="Times New Roman" w:hAnsi="Arial" w:cs="Arial"/>
                <w:color w:val="000000"/>
                <w:lang w:val="en-GB" w:eastAsia="en-GB"/>
              </w:rPr>
            </w:pPr>
            <w:r>
              <w:rPr>
                <w:rFonts w:ascii="Arial" w:eastAsia="Times New Roman" w:hAnsi="Arial" w:cs="Arial"/>
                <w:color w:val="000000"/>
                <w:lang w:val="en-GB" w:eastAsia="en-GB"/>
              </w:rPr>
              <w:t>10</w:t>
            </w:r>
          </w:p>
        </w:tc>
        <w:tc>
          <w:tcPr>
            <w:tcW w:w="1559" w:type="dxa"/>
            <w:tcBorders>
              <w:top w:val="single" w:sz="4" w:space="0" w:color="auto"/>
              <w:left w:val="single" w:sz="4" w:space="0" w:color="auto"/>
              <w:right w:val="single" w:sz="4" w:space="0" w:color="auto"/>
            </w:tcBorders>
            <w:shd w:val="clear" w:color="auto" w:fill="D9D9D9" w:themeFill="background1" w:themeFillShade="D9"/>
            <w:noWrap/>
            <w:vAlign w:val="bottom"/>
            <w:hideMark/>
          </w:tcPr>
          <w:p w14:paraId="51DD2A66" w14:textId="77777777" w:rsidR="00063A43" w:rsidRPr="00C306B6" w:rsidRDefault="00063A43" w:rsidP="007E1442">
            <w:pPr>
              <w:jc w:val="both"/>
              <w:rPr>
                <w:rFonts w:ascii="Arial" w:eastAsia="Times New Roman" w:hAnsi="Arial" w:cs="Arial"/>
                <w:color w:val="000000"/>
                <w:lang w:val="en-GB" w:eastAsia="en-GB"/>
              </w:rPr>
            </w:pPr>
            <w:r w:rsidRPr="00C306B6">
              <w:rPr>
                <w:rFonts w:ascii="Arial" w:eastAsia="Times New Roman" w:hAnsi="Arial" w:cs="Arial"/>
                <w:color w:val="000000"/>
                <w:lang w:val="en-GB" w:eastAsia="en-GB"/>
              </w:rPr>
              <w:t> </w:t>
            </w:r>
          </w:p>
        </w:tc>
      </w:tr>
      <w:tr w:rsidR="00535DDF" w:rsidRPr="00804D01" w14:paraId="508AAA1D" w14:textId="77777777" w:rsidTr="00535DDF">
        <w:trPr>
          <w:trHeight w:val="276"/>
        </w:trPr>
        <w:tc>
          <w:tcPr>
            <w:tcW w:w="2263" w:type="dxa"/>
            <w:vMerge w:val="restart"/>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057D5DFB" w14:textId="77777777" w:rsidR="00535DDF" w:rsidRPr="00C306B6" w:rsidRDefault="00535DDF" w:rsidP="00535DDF">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Remuneration Awarded</w:t>
            </w:r>
          </w:p>
        </w:tc>
        <w:tc>
          <w:tcPr>
            <w:tcW w:w="1843"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358B15B0" w14:textId="77777777" w:rsidR="00535DDF" w:rsidRPr="00C306B6" w:rsidRDefault="00535DDF" w:rsidP="00535DDF">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Fixed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3CBE0EC" w14:textId="628644E8"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£2,772,476</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F808B5D" w14:textId="34835AF3"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£1,020,037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16F2927" w14:textId="475AD3E4"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£3,916,045</w:t>
            </w:r>
          </w:p>
        </w:tc>
      </w:tr>
      <w:tr w:rsidR="00535DDF" w:rsidRPr="00804D01" w14:paraId="4F6E5EF0" w14:textId="77777777" w:rsidTr="00535DDF">
        <w:trPr>
          <w:trHeight w:val="276"/>
        </w:trPr>
        <w:tc>
          <w:tcPr>
            <w:tcW w:w="2263" w:type="dxa"/>
            <w:vMerge/>
            <w:tcBorders>
              <w:top w:val="single" w:sz="4" w:space="0" w:color="auto"/>
              <w:left w:val="single" w:sz="4" w:space="0" w:color="auto"/>
              <w:bottom w:val="single" w:sz="4" w:space="0" w:color="auto"/>
              <w:right w:val="single" w:sz="4" w:space="0" w:color="auto"/>
            </w:tcBorders>
            <w:shd w:val="clear" w:color="auto" w:fill="006CA9"/>
            <w:vAlign w:val="center"/>
            <w:hideMark/>
          </w:tcPr>
          <w:p w14:paraId="72ACF891" w14:textId="77777777" w:rsidR="00535DDF" w:rsidRPr="00C306B6" w:rsidRDefault="00535DDF" w:rsidP="00535DDF">
            <w:pPr>
              <w:jc w:val="both"/>
              <w:rPr>
                <w:rFonts w:ascii="Arial" w:eastAsia="Times New Roman" w:hAnsi="Arial" w:cs="Arial"/>
                <w:b/>
                <w:bCs/>
                <w:color w:val="FFFFFF" w:themeColor="background1"/>
                <w:lang w:val="en-GB"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70C8D14D" w14:textId="77777777" w:rsidR="00535DDF" w:rsidRPr="00C306B6" w:rsidRDefault="00535DDF" w:rsidP="00535DDF">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Variable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3127646" w14:textId="47A75BF2"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£1,499,747</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56504CA5" w14:textId="22613F96"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£263,442</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1994163" w14:textId="77B2C7BD"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£327,500</w:t>
            </w:r>
          </w:p>
        </w:tc>
      </w:tr>
      <w:tr w:rsidR="00535DDF" w:rsidRPr="00804D01" w14:paraId="74A38DBD" w14:textId="77777777" w:rsidTr="00535DDF">
        <w:trPr>
          <w:trHeight w:val="276"/>
        </w:trPr>
        <w:tc>
          <w:tcPr>
            <w:tcW w:w="2263" w:type="dxa"/>
            <w:vMerge/>
            <w:tcBorders>
              <w:top w:val="single" w:sz="4" w:space="0" w:color="auto"/>
              <w:left w:val="single" w:sz="4" w:space="0" w:color="auto"/>
              <w:bottom w:val="single" w:sz="4" w:space="0" w:color="auto"/>
              <w:right w:val="single" w:sz="4" w:space="0" w:color="auto"/>
            </w:tcBorders>
            <w:shd w:val="clear" w:color="auto" w:fill="006CA9"/>
            <w:vAlign w:val="center"/>
            <w:hideMark/>
          </w:tcPr>
          <w:p w14:paraId="583CED36" w14:textId="77777777" w:rsidR="00535DDF" w:rsidRPr="00C306B6" w:rsidRDefault="00535DDF" w:rsidP="00535DDF">
            <w:pPr>
              <w:jc w:val="both"/>
              <w:rPr>
                <w:rFonts w:ascii="Arial" w:eastAsia="Times New Roman" w:hAnsi="Arial" w:cs="Arial"/>
                <w:b/>
                <w:bCs/>
                <w:color w:val="FFFFFF" w:themeColor="background1"/>
                <w:lang w:val="en-GB"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34650A28" w14:textId="77777777" w:rsidR="00535DDF" w:rsidRPr="00C306B6" w:rsidRDefault="00535DDF" w:rsidP="00535DDF">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Total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3437CB2" w14:textId="7D6BA832"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£4,272,222</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F137C2C" w14:textId="7E8CBD56"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£1,283,479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98F9713" w14:textId="09983324"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£4,243,545</w:t>
            </w:r>
          </w:p>
        </w:tc>
      </w:tr>
      <w:tr w:rsidR="00535DDF" w:rsidRPr="00804D01" w14:paraId="0BEDEE8B" w14:textId="77777777" w:rsidTr="00535DDF">
        <w:trPr>
          <w:trHeight w:val="276"/>
        </w:trPr>
        <w:tc>
          <w:tcPr>
            <w:tcW w:w="2263" w:type="dxa"/>
            <w:vMerge w:val="restart"/>
            <w:tcBorders>
              <w:top w:val="single" w:sz="4" w:space="0" w:color="auto"/>
              <w:left w:val="single" w:sz="4" w:space="0" w:color="auto"/>
              <w:right w:val="single" w:sz="4" w:space="0" w:color="auto"/>
            </w:tcBorders>
            <w:shd w:val="clear" w:color="auto" w:fill="006CA9"/>
            <w:noWrap/>
            <w:vAlign w:val="bottom"/>
            <w:hideMark/>
          </w:tcPr>
          <w:p w14:paraId="418183B2" w14:textId="44E8AB4A" w:rsidR="00535DDF" w:rsidRPr="00C306B6" w:rsidRDefault="00535DDF" w:rsidP="00535DDF">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Guaranteed Variable Remuneration</w:t>
            </w:r>
          </w:p>
        </w:tc>
        <w:tc>
          <w:tcPr>
            <w:tcW w:w="1843"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20A61D35" w14:textId="77777777" w:rsidR="00535DDF" w:rsidRPr="00C306B6" w:rsidRDefault="00535DDF" w:rsidP="00535DDF">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Amount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FBB300E" w14:textId="45433EC3"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B2F4C98" w14:textId="0EF0C93E"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£0</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09A5650" w14:textId="77777777" w:rsidR="00535DDF" w:rsidRPr="00C306B6" w:rsidRDefault="00535DDF" w:rsidP="00535DDF">
            <w:pPr>
              <w:jc w:val="both"/>
              <w:rPr>
                <w:rFonts w:ascii="Arial" w:eastAsia="Times New Roman" w:hAnsi="Arial" w:cs="Arial"/>
                <w:color w:val="000000"/>
                <w:lang w:val="en-GB" w:eastAsia="en-GB"/>
              </w:rPr>
            </w:pPr>
            <w:r w:rsidRPr="00C306B6">
              <w:rPr>
                <w:rFonts w:ascii="Arial" w:eastAsia="Times New Roman" w:hAnsi="Arial" w:cs="Arial"/>
                <w:color w:val="000000"/>
                <w:lang w:val="en-GB" w:eastAsia="en-GB"/>
              </w:rPr>
              <w:t> </w:t>
            </w:r>
          </w:p>
        </w:tc>
      </w:tr>
      <w:tr w:rsidR="00535DDF" w:rsidRPr="00804D01" w14:paraId="0D9173BA" w14:textId="77777777" w:rsidTr="00535DDF">
        <w:trPr>
          <w:trHeight w:val="742"/>
        </w:trPr>
        <w:tc>
          <w:tcPr>
            <w:tcW w:w="2263" w:type="dxa"/>
            <w:vMerge/>
            <w:tcBorders>
              <w:left w:val="single" w:sz="4" w:space="0" w:color="auto"/>
              <w:right w:val="single" w:sz="4" w:space="0" w:color="auto"/>
            </w:tcBorders>
            <w:shd w:val="clear" w:color="auto" w:fill="006CA9"/>
            <w:vAlign w:val="center"/>
            <w:hideMark/>
          </w:tcPr>
          <w:p w14:paraId="41E4F5CE" w14:textId="77777777" w:rsidR="00535DDF" w:rsidRPr="00C306B6" w:rsidRDefault="00535DDF" w:rsidP="00535DDF">
            <w:pPr>
              <w:jc w:val="both"/>
              <w:rPr>
                <w:rFonts w:ascii="Arial" w:eastAsia="Times New Roman" w:hAnsi="Arial" w:cs="Arial"/>
                <w:b/>
                <w:bCs/>
                <w:color w:val="FFFFFF" w:themeColor="background1"/>
                <w:lang w:val="en-GB" w:eastAsia="en-GB"/>
              </w:rPr>
            </w:pPr>
          </w:p>
        </w:tc>
        <w:tc>
          <w:tcPr>
            <w:tcW w:w="1843" w:type="dxa"/>
            <w:tcBorders>
              <w:top w:val="single" w:sz="4" w:space="0" w:color="auto"/>
              <w:left w:val="single" w:sz="4" w:space="0" w:color="auto"/>
              <w:right w:val="single" w:sz="4" w:space="0" w:color="auto"/>
            </w:tcBorders>
            <w:shd w:val="clear" w:color="auto" w:fill="006CA9"/>
            <w:noWrap/>
            <w:vAlign w:val="bottom"/>
            <w:hideMark/>
          </w:tcPr>
          <w:p w14:paraId="07B6B93B" w14:textId="77777777" w:rsidR="00535DDF" w:rsidRPr="00C306B6" w:rsidRDefault="00535DDF" w:rsidP="00535DDF">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 Staff Awarded</w:t>
            </w:r>
          </w:p>
        </w:tc>
        <w:tc>
          <w:tcPr>
            <w:tcW w:w="1559" w:type="dxa"/>
            <w:tcBorders>
              <w:top w:val="single" w:sz="4" w:space="0" w:color="auto"/>
              <w:left w:val="single" w:sz="4" w:space="0" w:color="auto"/>
              <w:right w:val="single" w:sz="4" w:space="0" w:color="auto"/>
            </w:tcBorders>
            <w:noWrap/>
            <w:vAlign w:val="center"/>
            <w:hideMark/>
          </w:tcPr>
          <w:p w14:paraId="07ECB44D" w14:textId="7CAB2866"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0</w:t>
            </w:r>
          </w:p>
        </w:tc>
        <w:tc>
          <w:tcPr>
            <w:tcW w:w="1843" w:type="dxa"/>
            <w:tcBorders>
              <w:top w:val="single" w:sz="4" w:space="0" w:color="auto"/>
              <w:left w:val="single" w:sz="4" w:space="0" w:color="auto"/>
              <w:right w:val="single" w:sz="4" w:space="0" w:color="auto"/>
            </w:tcBorders>
            <w:noWrap/>
            <w:vAlign w:val="center"/>
            <w:hideMark/>
          </w:tcPr>
          <w:p w14:paraId="1ECD935D" w14:textId="3CD20C1E"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0</w:t>
            </w:r>
          </w:p>
        </w:tc>
        <w:tc>
          <w:tcPr>
            <w:tcW w:w="1559" w:type="dxa"/>
            <w:tcBorders>
              <w:top w:val="single" w:sz="4" w:space="0" w:color="auto"/>
              <w:left w:val="single" w:sz="4" w:space="0" w:color="auto"/>
              <w:right w:val="single" w:sz="4" w:space="0" w:color="auto"/>
            </w:tcBorders>
            <w:shd w:val="clear" w:color="auto" w:fill="D9D9D9" w:themeFill="background1" w:themeFillShade="D9"/>
            <w:noWrap/>
            <w:vAlign w:val="bottom"/>
            <w:hideMark/>
          </w:tcPr>
          <w:p w14:paraId="4F9B22C3" w14:textId="77777777" w:rsidR="00535DDF" w:rsidRPr="00C306B6" w:rsidRDefault="00535DDF" w:rsidP="00535DDF">
            <w:pPr>
              <w:jc w:val="both"/>
              <w:rPr>
                <w:rFonts w:ascii="Arial" w:eastAsia="Times New Roman" w:hAnsi="Arial" w:cs="Arial"/>
                <w:color w:val="000000"/>
                <w:lang w:val="en-GB" w:eastAsia="en-GB"/>
              </w:rPr>
            </w:pPr>
            <w:r w:rsidRPr="00C306B6">
              <w:rPr>
                <w:rFonts w:ascii="Arial" w:eastAsia="Times New Roman" w:hAnsi="Arial" w:cs="Arial"/>
                <w:color w:val="000000"/>
                <w:lang w:val="en-GB" w:eastAsia="en-GB"/>
              </w:rPr>
              <w:t> </w:t>
            </w:r>
          </w:p>
        </w:tc>
      </w:tr>
      <w:tr w:rsidR="00535DDF" w:rsidRPr="00804D01" w14:paraId="775893C1" w14:textId="77777777" w:rsidTr="00535DDF">
        <w:trPr>
          <w:trHeight w:val="276"/>
        </w:trPr>
        <w:tc>
          <w:tcPr>
            <w:tcW w:w="2263" w:type="dxa"/>
            <w:vMerge w:val="restart"/>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201154BA" w14:textId="76E6782F" w:rsidR="00535DDF" w:rsidRPr="00C306B6" w:rsidRDefault="00535DDF" w:rsidP="00535DDF">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Severance Payments</w:t>
            </w:r>
          </w:p>
        </w:tc>
        <w:tc>
          <w:tcPr>
            <w:tcW w:w="1843"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53EC3936" w14:textId="77777777" w:rsidR="00535DDF" w:rsidRPr="00C306B6" w:rsidRDefault="00535DDF" w:rsidP="00535DDF">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Amount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85BBE0F" w14:textId="666FA2F6"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£415,500</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2971F70" w14:textId="7C9AE958"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5A9DEB4B" w14:textId="4E1E3D3D"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£8,135</w:t>
            </w:r>
          </w:p>
        </w:tc>
      </w:tr>
      <w:tr w:rsidR="00535DDF" w:rsidRPr="00804D01" w14:paraId="62BE3014" w14:textId="77777777" w:rsidTr="00535DDF">
        <w:trPr>
          <w:trHeight w:val="276"/>
        </w:trPr>
        <w:tc>
          <w:tcPr>
            <w:tcW w:w="2263" w:type="dxa"/>
            <w:vMerge/>
            <w:tcBorders>
              <w:top w:val="single" w:sz="4" w:space="0" w:color="auto"/>
              <w:left w:val="single" w:sz="4" w:space="0" w:color="auto"/>
              <w:bottom w:val="single" w:sz="4" w:space="0" w:color="auto"/>
              <w:right w:val="single" w:sz="4" w:space="0" w:color="auto"/>
            </w:tcBorders>
            <w:shd w:val="clear" w:color="auto" w:fill="006CA9"/>
            <w:vAlign w:val="center"/>
            <w:hideMark/>
          </w:tcPr>
          <w:p w14:paraId="1C294874" w14:textId="77777777" w:rsidR="00535DDF" w:rsidRPr="00C306B6" w:rsidRDefault="00535DDF" w:rsidP="00535DDF">
            <w:pPr>
              <w:jc w:val="both"/>
              <w:rPr>
                <w:rFonts w:ascii="Arial" w:eastAsia="Times New Roman" w:hAnsi="Arial" w:cs="Arial"/>
                <w:b/>
                <w:bCs/>
                <w:color w:val="FFFFFF" w:themeColor="background1"/>
                <w:lang w:val="en-GB" w:eastAsia="en-GB"/>
              </w:rPr>
            </w:pPr>
          </w:p>
        </w:tc>
        <w:tc>
          <w:tcPr>
            <w:tcW w:w="1843" w:type="dxa"/>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76CD4EFF" w14:textId="77777777" w:rsidR="00535DDF" w:rsidRPr="00C306B6" w:rsidRDefault="00535DDF" w:rsidP="00535DDF">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 Staff Awarded</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D5C8A11" w14:textId="168B0D87"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1</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22298AB7" w14:textId="5F90DF6C"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EBB4E78" w14:textId="60ECBA87" w:rsidR="00535DDF" w:rsidRPr="00C306B6" w:rsidRDefault="00535DDF" w:rsidP="00535DDF">
            <w:pPr>
              <w:jc w:val="both"/>
              <w:rPr>
                <w:rFonts w:ascii="Arial" w:eastAsia="Times New Roman" w:hAnsi="Arial" w:cs="Arial"/>
                <w:color w:val="000000"/>
                <w:lang w:val="en-GB" w:eastAsia="en-GB"/>
              </w:rPr>
            </w:pPr>
            <w:r>
              <w:rPr>
                <w:rFonts w:ascii="Aptos Narrow" w:hAnsi="Aptos Narrow"/>
                <w:color w:val="000000"/>
                <w:sz w:val="22"/>
                <w:szCs w:val="22"/>
              </w:rPr>
              <w:t>2</w:t>
            </w:r>
          </w:p>
        </w:tc>
      </w:tr>
      <w:tr w:rsidR="00535DDF" w:rsidRPr="00804D01" w14:paraId="69639632" w14:textId="77777777" w:rsidTr="00535DDF">
        <w:trPr>
          <w:trHeight w:val="574"/>
        </w:trPr>
        <w:tc>
          <w:tcPr>
            <w:tcW w:w="4106" w:type="dxa"/>
            <w:gridSpan w:val="2"/>
            <w:tcBorders>
              <w:top w:val="single" w:sz="4" w:space="0" w:color="auto"/>
              <w:left w:val="single" w:sz="4" w:space="0" w:color="auto"/>
              <w:bottom w:val="single" w:sz="4" w:space="0" w:color="auto"/>
              <w:right w:val="single" w:sz="4" w:space="0" w:color="auto"/>
            </w:tcBorders>
            <w:shd w:val="clear" w:color="auto" w:fill="006CA9"/>
            <w:noWrap/>
            <w:vAlign w:val="bottom"/>
            <w:hideMark/>
          </w:tcPr>
          <w:p w14:paraId="35474AFB" w14:textId="778DDCBA" w:rsidR="00535DDF" w:rsidRPr="00C306B6" w:rsidRDefault="00535DDF" w:rsidP="00535DDF">
            <w:pPr>
              <w:jc w:val="both"/>
              <w:rPr>
                <w:rFonts w:ascii="Arial" w:eastAsia="Times New Roman" w:hAnsi="Arial" w:cs="Arial"/>
                <w:b/>
                <w:bCs/>
                <w:color w:val="FFFFFF" w:themeColor="background1"/>
                <w:lang w:val="en-GB" w:eastAsia="en-GB"/>
              </w:rPr>
            </w:pPr>
            <w:r w:rsidRPr="00C306B6">
              <w:rPr>
                <w:rFonts w:ascii="Arial" w:eastAsia="Times New Roman" w:hAnsi="Arial" w:cs="Arial"/>
                <w:b/>
                <w:bCs/>
                <w:color w:val="FFFFFF" w:themeColor="background1"/>
                <w:lang w:val="en-GB" w:eastAsia="en-GB"/>
              </w:rPr>
              <w:t>Highest Severance Payment Awarded to an Individual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03A11CD" w14:textId="638EB04C" w:rsidR="00535DDF" w:rsidRPr="00535DDF" w:rsidRDefault="00535DDF" w:rsidP="00535DDF">
            <w:pPr>
              <w:jc w:val="both"/>
              <w:rPr>
                <w:rFonts w:ascii="Aptos Narrow" w:hAnsi="Aptos Narrow"/>
                <w:color w:val="000000"/>
                <w:sz w:val="22"/>
                <w:szCs w:val="22"/>
              </w:rPr>
            </w:pPr>
            <w:r>
              <w:rPr>
                <w:rFonts w:ascii="Aptos Narrow" w:hAnsi="Aptos Narrow"/>
                <w:color w:val="000000"/>
                <w:sz w:val="22"/>
                <w:szCs w:val="22"/>
              </w:rPr>
              <w:t>£415,500</w:t>
            </w:r>
          </w:p>
        </w:tc>
        <w:tc>
          <w:tcPr>
            <w:tcW w:w="1843" w:type="dxa"/>
            <w:tcBorders>
              <w:top w:val="single" w:sz="4" w:space="0" w:color="auto"/>
              <w:left w:val="single" w:sz="4" w:space="0" w:color="auto"/>
              <w:bottom w:val="single" w:sz="4" w:space="0" w:color="auto"/>
              <w:right w:val="single" w:sz="4" w:space="0" w:color="auto"/>
            </w:tcBorders>
            <w:vAlign w:val="center"/>
          </w:tcPr>
          <w:p w14:paraId="0B143F40" w14:textId="2DED7275" w:rsidR="00535DDF" w:rsidRPr="00535DDF" w:rsidRDefault="00535DDF" w:rsidP="00535DDF">
            <w:pPr>
              <w:jc w:val="both"/>
              <w:rPr>
                <w:rFonts w:ascii="Aptos Narrow" w:hAnsi="Aptos Narrow"/>
                <w:color w:val="000000"/>
                <w:sz w:val="22"/>
                <w:szCs w:val="22"/>
              </w:rPr>
            </w:pPr>
            <w:r w:rsidRPr="00535DDF">
              <w:rPr>
                <w:rFonts w:ascii="Aptos Narrow" w:hAnsi="Aptos Narrow"/>
                <w:color w:val="000000"/>
                <w:sz w:val="22"/>
                <w:szCs w:val="22"/>
              </w:rPr>
              <w:t>N/A</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2CB3957" w14:textId="3C576656" w:rsidR="00535DDF" w:rsidRPr="00535DDF" w:rsidRDefault="00535DDF" w:rsidP="00535DDF">
            <w:pPr>
              <w:jc w:val="both"/>
              <w:rPr>
                <w:rFonts w:ascii="Aptos Narrow" w:hAnsi="Aptos Narrow"/>
                <w:color w:val="000000"/>
                <w:sz w:val="22"/>
                <w:szCs w:val="22"/>
              </w:rPr>
            </w:pPr>
            <w:r>
              <w:rPr>
                <w:rFonts w:ascii="Aptos Narrow" w:hAnsi="Aptos Narrow"/>
                <w:color w:val="000000"/>
                <w:sz w:val="22"/>
                <w:szCs w:val="22"/>
              </w:rPr>
              <w:t>£6,519</w:t>
            </w:r>
          </w:p>
        </w:tc>
      </w:tr>
    </w:tbl>
    <w:p w14:paraId="2C85E2F8" w14:textId="38B79CBC" w:rsidR="002E64D7" w:rsidRPr="003C1AE5" w:rsidRDefault="002E64D7" w:rsidP="002E64D7">
      <w:pPr>
        <w:jc w:val="both"/>
        <w:rPr>
          <w:lang w:val="en-GB" w:eastAsia="en-GB"/>
        </w:rPr>
      </w:pPr>
    </w:p>
    <w:sectPr w:rsidR="002E64D7" w:rsidRPr="003C1A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6AD5C" w14:textId="77777777" w:rsidR="003C4F91" w:rsidRDefault="003C4F91" w:rsidP="00B342DC">
      <w:pPr>
        <w:spacing w:before="0" w:after="0" w:line="240" w:lineRule="auto"/>
      </w:pPr>
      <w:r>
        <w:separator/>
      </w:r>
    </w:p>
  </w:endnote>
  <w:endnote w:type="continuationSeparator" w:id="0">
    <w:p w14:paraId="401E37CA" w14:textId="77777777" w:rsidR="003C4F91" w:rsidRDefault="003C4F91" w:rsidP="00B342DC">
      <w:pPr>
        <w:spacing w:before="0" w:after="0" w:line="240" w:lineRule="auto"/>
      </w:pPr>
      <w:r>
        <w:continuationSeparator/>
      </w:r>
    </w:p>
  </w:endnote>
  <w:endnote w:type="continuationNotice" w:id="1">
    <w:p w14:paraId="1037C82D" w14:textId="77777777" w:rsidR="003C4F91" w:rsidRDefault="003C4F9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7E84" w14:textId="716B18AB" w:rsidR="00D71418" w:rsidRDefault="00D71418">
    <w:pPr>
      <w:pStyle w:val="Footer"/>
    </w:pPr>
    <w:r>
      <w:rPr>
        <w:noProof/>
      </w:rPr>
      <mc:AlternateContent>
        <mc:Choice Requires="wps">
          <w:drawing>
            <wp:anchor distT="0" distB="0" distL="0" distR="0" simplePos="0" relativeHeight="251660290" behindDoc="0" locked="0" layoutInCell="1" allowOverlap="1" wp14:anchorId="349E56C0" wp14:editId="047C0399">
              <wp:simplePos x="635" y="635"/>
              <wp:positionH relativeFrom="page">
                <wp:align>center</wp:align>
              </wp:positionH>
              <wp:positionV relativeFrom="page">
                <wp:align>bottom</wp:align>
              </wp:positionV>
              <wp:extent cx="443865" cy="443865"/>
              <wp:effectExtent l="0" t="0" r="635" b="0"/>
              <wp:wrapNone/>
              <wp:docPr id="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F90CBE" w14:textId="426AC51E" w:rsidR="00D71418" w:rsidRPr="00D71418" w:rsidRDefault="00D71418" w:rsidP="00D71418">
                          <w:pPr>
                            <w:spacing w:after="0"/>
                            <w:rPr>
                              <w:rFonts w:ascii="Calibri" w:eastAsia="Calibri" w:hAnsi="Calibri" w:cs="Calibri"/>
                              <w:noProof/>
                              <w:color w:val="000000"/>
                              <w:sz w:val="20"/>
                              <w:szCs w:val="20"/>
                            </w:rPr>
                          </w:pPr>
                          <w:r w:rsidRPr="00D71418">
                            <w:rPr>
                              <w:rFonts w:ascii="Calibri" w:eastAsia="Calibri" w:hAnsi="Calibri" w:cs="Calibri"/>
                              <w:noProof/>
                              <w:color w:val="00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49E56C0" id="_x0000_t202" coordsize="21600,21600" o:spt="202" path="m,l,21600r21600,l21600,xe">
              <v:stroke joinstyle="miter"/>
              <v:path gradientshapeok="t" o:connecttype="rect"/>
            </v:shapetype>
            <v:shape id="Text Box 2" o:spid="_x0000_s1026" type="#_x0000_t202" alt="Confidential" style="position:absolute;margin-left:0;margin-top:0;width:34.95pt;height:34.95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9F90CBE" w14:textId="426AC51E" w:rsidR="00D71418" w:rsidRPr="00D71418" w:rsidRDefault="00D71418" w:rsidP="00D71418">
                    <w:pPr>
                      <w:spacing w:after="0"/>
                      <w:rPr>
                        <w:rFonts w:ascii="Calibri" w:eastAsia="Calibri" w:hAnsi="Calibri" w:cs="Calibri"/>
                        <w:noProof/>
                        <w:color w:val="000000"/>
                        <w:sz w:val="20"/>
                        <w:szCs w:val="20"/>
                      </w:rPr>
                    </w:pPr>
                    <w:r w:rsidRPr="00D71418">
                      <w:rPr>
                        <w:rFonts w:ascii="Calibri" w:eastAsia="Calibri" w:hAnsi="Calibri" w:cs="Calibri"/>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E373" w14:textId="0EE9A6BD" w:rsidR="00D71418" w:rsidRDefault="00D71418">
    <w:pPr>
      <w:pStyle w:val="Footer"/>
    </w:pPr>
    <w:r>
      <w:rPr>
        <w:noProof/>
      </w:rPr>
      <mc:AlternateContent>
        <mc:Choice Requires="wps">
          <w:drawing>
            <wp:anchor distT="0" distB="0" distL="0" distR="0" simplePos="0" relativeHeight="251661314" behindDoc="0" locked="0" layoutInCell="1" allowOverlap="1" wp14:anchorId="34AE6AB1" wp14:editId="21B815B2">
              <wp:simplePos x="0" y="0"/>
              <wp:positionH relativeFrom="page">
                <wp:posOffset>3606801</wp:posOffset>
              </wp:positionH>
              <wp:positionV relativeFrom="page">
                <wp:posOffset>9531350</wp:posOffset>
              </wp:positionV>
              <wp:extent cx="349250" cy="443865"/>
              <wp:effectExtent l="0" t="0" r="12700" b="0"/>
              <wp:wrapNone/>
              <wp:docPr id="3"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49250" cy="443865"/>
                      </a:xfrm>
                      <a:prstGeom prst="rect">
                        <a:avLst/>
                      </a:prstGeom>
                      <a:noFill/>
                      <a:ln>
                        <a:noFill/>
                      </a:ln>
                    </wps:spPr>
                    <wps:txbx>
                      <w:txbxContent>
                        <w:p w14:paraId="6CE38550" w14:textId="277805AB" w:rsidR="00D71418" w:rsidRPr="00D71418" w:rsidRDefault="00D71418" w:rsidP="00D71418">
                          <w:pPr>
                            <w:spacing w:after="0"/>
                            <w:rPr>
                              <w:rFonts w:ascii="Calibri" w:eastAsia="Calibri" w:hAnsi="Calibri" w:cs="Calibri"/>
                              <w:noProof/>
                              <w:color w:val="000000"/>
                              <w:sz w:val="20"/>
                              <w:szCs w:val="20"/>
                            </w:rPr>
                          </w:pP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34AE6AB1" id="_x0000_t202" coordsize="21600,21600" o:spt="202" path="m,l,21600r21600,l21600,xe">
              <v:stroke joinstyle="miter"/>
              <v:path gradientshapeok="t" o:connecttype="rect"/>
            </v:shapetype>
            <v:shape id="Text Box 3" o:spid="_x0000_s1027" type="#_x0000_t202" alt="Confidential" style="position:absolute;margin-left:284pt;margin-top:750.5pt;width:27.5pt;height:34.95pt;z-index:25166131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" filled="f" stroked="f">
              <v:textbox style="mso-fit-shape-to-text:t" inset="0,0,0,15pt">
                <w:txbxContent>
                  <w:p w14:paraId="6CE38550" w14:textId="277805AB" w:rsidR="00D71418" w:rsidRPr="00D71418" w:rsidRDefault="00D71418" w:rsidP="00D71418">
                    <w:pPr>
                      <w:spacing w:after="0"/>
                      <w:rPr>
                        <w:rFonts w:ascii="Calibri" w:eastAsia="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8F94" w14:textId="0DBDE450" w:rsidR="00D71418" w:rsidRDefault="00D71418">
    <w:pPr>
      <w:pStyle w:val="Footer"/>
    </w:pPr>
    <w:r>
      <w:rPr>
        <w:noProof/>
      </w:rPr>
      <mc:AlternateContent>
        <mc:Choice Requires="wps">
          <w:drawing>
            <wp:anchor distT="0" distB="0" distL="0" distR="0" simplePos="0" relativeHeight="251659266" behindDoc="0" locked="0" layoutInCell="1" allowOverlap="1" wp14:anchorId="48EC807E" wp14:editId="5DDC2F4F">
              <wp:simplePos x="635" y="635"/>
              <wp:positionH relativeFrom="page">
                <wp:align>center</wp:align>
              </wp:positionH>
              <wp:positionV relativeFrom="page">
                <wp:align>bottom</wp:align>
              </wp:positionV>
              <wp:extent cx="443865" cy="443865"/>
              <wp:effectExtent l="0" t="0" r="635" b="0"/>
              <wp:wrapNone/>
              <wp:docPr id="1"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FCB759" w14:textId="33129B70" w:rsidR="00D71418" w:rsidRPr="00D71418" w:rsidRDefault="00D71418" w:rsidP="00D71418">
                          <w:pPr>
                            <w:spacing w:after="0"/>
                            <w:rPr>
                              <w:rFonts w:ascii="Calibri" w:eastAsia="Calibri" w:hAnsi="Calibri" w:cs="Calibri"/>
                              <w:noProof/>
                              <w:color w:val="000000"/>
                              <w:sz w:val="20"/>
                              <w:szCs w:val="20"/>
                            </w:rPr>
                          </w:pPr>
                          <w:r w:rsidRPr="00D71418">
                            <w:rPr>
                              <w:rFonts w:ascii="Calibri" w:eastAsia="Calibri" w:hAnsi="Calibri" w:cs="Calibri"/>
                              <w:noProof/>
                              <w:color w:val="000000"/>
                              <w:sz w:val="20"/>
                              <w:szCs w:val="2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EC807E" id="_x0000_t202" coordsize="21600,21600" o:spt="202" path="m,l,21600r21600,l21600,xe">
              <v:stroke joinstyle="miter"/>
              <v:path gradientshapeok="t" o:connecttype="rect"/>
            </v:shapetype>
            <v:shape id="Text Box 1" o:spid="_x0000_s1028" type="#_x0000_t202" alt="Confidential" style="position:absolute;margin-left:0;margin-top:0;width:34.95pt;height:34.95pt;z-index:251659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0DFCB759" w14:textId="33129B70" w:rsidR="00D71418" w:rsidRPr="00D71418" w:rsidRDefault="00D71418" w:rsidP="00D71418">
                    <w:pPr>
                      <w:spacing w:after="0"/>
                      <w:rPr>
                        <w:rFonts w:ascii="Calibri" w:eastAsia="Calibri" w:hAnsi="Calibri" w:cs="Calibri"/>
                        <w:noProof/>
                        <w:color w:val="000000"/>
                        <w:sz w:val="20"/>
                        <w:szCs w:val="20"/>
                      </w:rPr>
                    </w:pPr>
                    <w:r w:rsidRPr="00D71418">
                      <w:rPr>
                        <w:rFonts w:ascii="Calibri" w:eastAsia="Calibri" w:hAnsi="Calibri" w:cs="Calibri"/>
                        <w:noProof/>
                        <w:color w:val="000000"/>
                        <w:sz w:val="20"/>
                        <w:szCs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4C9AF" w14:textId="77777777" w:rsidR="003C4F91" w:rsidRDefault="003C4F91" w:rsidP="00B342DC">
      <w:pPr>
        <w:spacing w:before="0" w:after="0" w:line="240" w:lineRule="auto"/>
      </w:pPr>
      <w:r>
        <w:separator/>
      </w:r>
    </w:p>
  </w:footnote>
  <w:footnote w:type="continuationSeparator" w:id="0">
    <w:p w14:paraId="5BC27FD6" w14:textId="77777777" w:rsidR="003C4F91" w:rsidRDefault="003C4F91" w:rsidP="00B342DC">
      <w:pPr>
        <w:spacing w:before="0" w:after="0" w:line="240" w:lineRule="auto"/>
      </w:pPr>
      <w:r>
        <w:continuationSeparator/>
      </w:r>
    </w:p>
  </w:footnote>
  <w:footnote w:type="continuationNotice" w:id="1">
    <w:p w14:paraId="0BA0E6DA" w14:textId="77777777" w:rsidR="003C4F91" w:rsidRDefault="003C4F91">
      <w:pPr>
        <w:spacing w:before="0" w:after="0" w:line="240" w:lineRule="auto"/>
      </w:pPr>
    </w:p>
  </w:footnote>
  <w:footnote w:id="2">
    <w:p w14:paraId="70932297" w14:textId="77777777" w:rsidR="006A5179" w:rsidRPr="00496C85" w:rsidRDefault="006A5179" w:rsidP="006A5179">
      <w:pPr>
        <w:pStyle w:val="FootnoteText"/>
        <w:rPr>
          <w:sz w:val="16"/>
          <w:szCs w:val="16"/>
        </w:rPr>
      </w:pPr>
      <w:r w:rsidRPr="006138F1">
        <w:rPr>
          <w:rStyle w:val="FootnoteReference"/>
          <w:sz w:val="16"/>
          <w:szCs w:val="16"/>
          <w:vertAlign w:val="baseline"/>
        </w:rPr>
        <w:footnoteRef/>
      </w:r>
      <w:r w:rsidRPr="00496C85">
        <w:rPr>
          <w:sz w:val="16"/>
          <w:szCs w:val="16"/>
        </w:rPr>
        <w:t xml:space="preserve"> A control function is defined as a function (including, but not limited to, a risk management function, compliance function and internal audit function) that is independent from the business units it controls and that is responsible for providing an objective assessment of the Firm’s risks, and for reviewing and reporting on those risks.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06E4B" w14:textId="57AD9608" w:rsidR="00EF25FE" w:rsidRDefault="00472B85" w:rsidP="00D94007">
    <w:pPr>
      <w:pStyle w:val="Header"/>
      <w:ind w:left="5760"/>
    </w:pPr>
    <w:r>
      <w:rPr>
        <w:noProof/>
      </w:rPr>
      <w:drawing>
        <wp:inline distT="0" distB="0" distL="0" distR="0" wp14:anchorId="27D80209" wp14:editId="5C834ED4">
          <wp:extent cx="2479982" cy="588204"/>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0993" cy="6263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1292C"/>
    <w:multiLevelType w:val="hybridMultilevel"/>
    <w:tmpl w:val="5F3E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F6A33"/>
    <w:multiLevelType w:val="hybridMultilevel"/>
    <w:tmpl w:val="B9023B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B20C79"/>
    <w:multiLevelType w:val="hybridMultilevel"/>
    <w:tmpl w:val="6E320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5B42A8"/>
    <w:multiLevelType w:val="hybridMultilevel"/>
    <w:tmpl w:val="B17A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E04DD6"/>
    <w:multiLevelType w:val="hybridMultilevel"/>
    <w:tmpl w:val="873A5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D923C5"/>
    <w:multiLevelType w:val="hybridMultilevel"/>
    <w:tmpl w:val="CD6C5C10"/>
    <w:lvl w:ilvl="0" w:tplc="77EABFE6">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C174C11"/>
    <w:multiLevelType w:val="hybridMultilevel"/>
    <w:tmpl w:val="E8FA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731875"/>
    <w:multiLevelType w:val="hybridMultilevel"/>
    <w:tmpl w:val="DBC83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EA0136"/>
    <w:multiLevelType w:val="hybridMultilevel"/>
    <w:tmpl w:val="3FFE7B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705357E"/>
    <w:multiLevelType w:val="hybridMultilevel"/>
    <w:tmpl w:val="D128A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A32C85"/>
    <w:multiLevelType w:val="hybridMultilevel"/>
    <w:tmpl w:val="8CECB864"/>
    <w:lvl w:ilvl="0" w:tplc="38743ABC">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A90CE1"/>
    <w:multiLevelType w:val="hybridMultilevel"/>
    <w:tmpl w:val="A26C8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AA312F"/>
    <w:multiLevelType w:val="hybridMultilevel"/>
    <w:tmpl w:val="20860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8C18B0"/>
    <w:multiLevelType w:val="hybridMultilevel"/>
    <w:tmpl w:val="9BDA6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530FC"/>
    <w:multiLevelType w:val="hybridMultilevel"/>
    <w:tmpl w:val="CE5E7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7190015">
    <w:abstractNumId w:val="5"/>
  </w:num>
  <w:num w:numId="2" w16cid:durableId="101150036">
    <w:abstractNumId w:val="0"/>
  </w:num>
  <w:num w:numId="3" w16cid:durableId="162355663">
    <w:abstractNumId w:val="2"/>
  </w:num>
  <w:num w:numId="4" w16cid:durableId="58594552">
    <w:abstractNumId w:val="4"/>
  </w:num>
  <w:num w:numId="5" w16cid:durableId="1276018171">
    <w:abstractNumId w:val="6"/>
  </w:num>
  <w:num w:numId="6" w16cid:durableId="1406798487">
    <w:abstractNumId w:val="14"/>
  </w:num>
  <w:num w:numId="7" w16cid:durableId="985431887">
    <w:abstractNumId w:val="9"/>
  </w:num>
  <w:num w:numId="8" w16cid:durableId="1837840483">
    <w:abstractNumId w:val="1"/>
  </w:num>
  <w:num w:numId="9" w16cid:durableId="692803111">
    <w:abstractNumId w:val="12"/>
  </w:num>
  <w:num w:numId="10" w16cid:durableId="797454654">
    <w:abstractNumId w:val="11"/>
  </w:num>
  <w:num w:numId="11" w16cid:durableId="1752970904">
    <w:abstractNumId w:val="3"/>
  </w:num>
  <w:num w:numId="12" w16cid:durableId="912590274">
    <w:abstractNumId w:val="10"/>
  </w:num>
  <w:num w:numId="13" w16cid:durableId="681975363">
    <w:abstractNumId w:val="8"/>
  </w:num>
  <w:num w:numId="14" w16cid:durableId="1045830022">
    <w:abstractNumId w:val="7"/>
  </w:num>
  <w:num w:numId="15" w16cid:durableId="75598388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43"/>
    <w:rsid w:val="000000B6"/>
    <w:rsid w:val="00002ED8"/>
    <w:rsid w:val="000048BB"/>
    <w:rsid w:val="00004D14"/>
    <w:rsid w:val="00005A4A"/>
    <w:rsid w:val="00006A21"/>
    <w:rsid w:val="00010006"/>
    <w:rsid w:val="000103EA"/>
    <w:rsid w:val="0001210A"/>
    <w:rsid w:val="000124C5"/>
    <w:rsid w:val="000137B2"/>
    <w:rsid w:val="00013F5C"/>
    <w:rsid w:val="00016E88"/>
    <w:rsid w:val="00020AE0"/>
    <w:rsid w:val="00022DF9"/>
    <w:rsid w:val="00022FEC"/>
    <w:rsid w:val="000243D2"/>
    <w:rsid w:val="000255FE"/>
    <w:rsid w:val="00026682"/>
    <w:rsid w:val="00026F72"/>
    <w:rsid w:val="00027C77"/>
    <w:rsid w:val="00030139"/>
    <w:rsid w:val="000309DA"/>
    <w:rsid w:val="00030A55"/>
    <w:rsid w:val="00030B25"/>
    <w:rsid w:val="000317EF"/>
    <w:rsid w:val="00031ACE"/>
    <w:rsid w:val="000343DE"/>
    <w:rsid w:val="00036603"/>
    <w:rsid w:val="00037DB5"/>
    <w:rsid w:val="0004056D"/>
    <w:rsid w:val="00040B6F"/>
    <w:rsid w:val="0004129B"/>
    <w:rsid w:val="000415DB"/>
    <w:rsid w:val="00045195"/>
    <w:rsid w:val="00046145"/>
    <w:rsid w:val="00046690"/>
    <w:rsid w:val="00051CEE"/>
    <w:rsid w:val="00051D0D"/>
    <w:rsid w:val="00051D78"/>
    <w:rsid w:val="00052047"/>
    <w:rsid w:val="00052680"/>
    <w:rsid w:val="00052EFF"/>
    <w:rsid w:val="00054ACA"/>
    <w:rsid w:val="00056A53"/>
    <w:rsid w:val="000577D4"/>
    <w:rsid w:val="000602B7"/>
    <w:rsid w:val="000614AA"/>
    <w:rsid w:val="00061855"/>
    <w:rsid w:val="00061BCA"/>
    <w:rsid w:val="00061E84"/>
    <w:rsid w:val="00062A18"/>
    <w:rsid w:val="00062EAA"/>
    <w:rsid w:val="00063A43"/>
    <w:rsid w:val="00066BFE"/>
    <w:rsid w:val="00067842"/>
    <w:rsid w:val="000702A0"/>
    <w:rsid w:val="00071554"/>
    <w:rsid w:val="000719A1"/>
    <w:rsid w:val="000724E0"/>
    <w:rsid w:val="00072E18"/>
    <w:rsid w:val="00075C31"/>
    <w:rsid w:val="00075D1A"/>
    <w:rsid w:val="0008058C"/>
    <w:rsid w:val="00080B2D"/>
    <w:rsid w:val="000823FD"/>
    <w:rsid w:val="00083263"/>
    <w:rsid w:val="00083413"/>
    <w:rsid w:val="00090AC7"/>
    <w:rsid w:val="000940CC"/>
    <w:rsid w:val="00096C23"/>
    <w:rsid w:val="0009751A"/>
    <w:rsid w:val="000A01E2"/>
    <w:rsid w:val="000A03C9"/>
    <w:rsid w:val="000A07A1"/>
    <w:rsid w:val="000A0EAB"/>
    <w:rsid w:val="000A37F4"/>
    <w:rsid w:val="000A4A66"/>
    <w:rsid w:val="000A4E7A"/>
    <w:rsid w:val="000A586E"/>
    <w:rsid w:val="000B19EF"/>
    <w:rsid w:val="000B1D0F"/>
    <w:rsid w:val="000B2A27"/>
    <w:rsid w:val="000B30D9"/>
    <w:rsid w:val="000B387B"/>
    <w:rsid w:val="000B4AA9"/>
    <w:rsid w:val="000B4E3F"/>
    <w:rsid w:val="000B6067"/>
    <w:rsid w:val="000B61C2"/>
    <w:rsid w:val="000B791A"/>
    <w:rsid w:val="000C0B63"/>
    <w:rsid w:val="000C2830"/>
    <w:rsid w:val="000C3879"/>
    <w:rsid w:val="000D0636"/>
    <w:rsid w:val="000D07CE"/>
    <w:rsid w:val="000D2E1B"/>
    <w:rsid w:val="000D2F3B"/>
    <w:rsid w:val="000D376F"/>
    <w:rsid w:val="000D3BE5"/>
    <w:rsid w:val="000D4FD6"/>
    <w:rsid w:val="000D5922"/>
    <w:rsid w:val="000E2D69"/>
    <w:rsid w:val="000E30CB"/>
    <w:rsid w:val="000E35CA"/>
    <w:rsid w:val="000E4604"/>
    <w:rsid w:val="000E540F"/>
    <w:rsid w:val="000E6BCF"/>
    <w:rsid w:val="000E6EF9"/>
    <w:rsid w:val="000E6F2B"/>
    <w:rsid w:val="000F091D"/>
    <w:rsid w:val="000F16F3"/>
    <w:rsid w:val="000F2714"/>
    <w:rsid w:val="000F3231"/>
    <w:rsid w:val="000F3758"/>
    <w:rsid w:val="000F4094"/>
    <w:rsid w:val="000F4BCD"/>
    <w:rsid w:val="000F6C38"/>
    <w:rsid w:val="001013D3"/>
    <w:rsid w:val="001021AB"/>
    <w:rsid w:val="00102730"/>
    <w:rsid w:val="001042B4"/>
    <w:rsid w:val="0010453E"/>
    <w:rsid w:val="0010623C"/>
    <w:rsid w:val="00106A65"/>
    <w:rsid w:val="00107B76"/>
    <w:rsid w:val="001104AC"/>
    <w:rsid w:val="00111CD3"/>
    <w:rsid w:val="00112C65"/>
    <w:rsid w:val="00113279"/>
    <w:rsid w:val="001144E5"/>
    <w:rsid w:val="0011519F"/>
    <w:rsid w:val="0011560D"/>
    <w:rsid w:val="0011565D"/>
    <w:rsid w:val="001161D0"/>
    <w:rsid w:val="00116AF2"/>
    <w:rsid w:val="001170DA"/>
    <w:rsid w:val="001173EB"/>
    <w:rsid w:val="00117C6E"/>
    <w:rsid w:val="00117F5A"/>
    <w:rsid w:val="00120118"/>
    <w:rsid w:val="00120300"/>
    <w:rsid w:val="00121E97"/>
    <w:rsid w:val="00122601"/>
    <w:rsid w:val="00124CF2"/>
    <w:rsid w:val="00124FF5"/>
    <w:rsid w:val="00126800"/>
    <w:rsid w:val="00126D8E"/>
    <w:rsid w:val="001318F3"/>
    <w:rsid w:val="00131B84"/>
    <w:rsid w:val="00135D2A"/>
    <w:rsid w:val="00140000"/>
    <w:rsid w:val="001405D8"/>
    <w:rsid w:val="00141268"/>
    <w:rsid w:val="00143FFB"/>
    <w:rsid w:val="00144FA6"/>
    <w:rsid w:val="001459B0"/>
    <w:rsid w:val="001467A8"/>
    <w:rsid w:val="00151C35"/>
    <w:rsid w:val="001535E6"/>
    <w:rsid w:val="00154150"/>
    <w:rsid w:val="001550FA"/>
    <w:rsid w:val="00156040"/>
    <w:rsid w:val="001605F5"/>
    <w:rsid w:val="0016261A"/>
    <w:rsid w:val="00162692"/>
    <w:rsid w:val="001626F4"/>
    <w:rsid w:val="00164982"/>
    <w:rsid w:val="00165574"/>
    <w:rsid w:val="00165783"/>
    <w:rsid w:val="001665C4"/>
    <w:rsid w:val="001666CC"/>
    <w:rsid w:val="00166D68"/>
    <w:rsid w:val="00166D73"/>
    <w:rsid w:val="00173575"/>
    <w:rsid w:val="0017703C"/>
    <w:rsid w:val="00177659"/>
    <w:rsid w:val="00180F1A"/>
    <w:rsid w:val="00181075"/>
    <w:rsid w:val="001818B0"/>
    <w:rsid w:val="00181B4A"/>
    <w:rsid w:val="00181FF0"/>
    <w:rsid w:val="001825CE"/>
    <w:rsid w:val="001872B7"/>
    <w:rsid w:val="00190CB5"/>
    <w:rsid w:val="00192955"/>
    <w:rsid w:val="001932AE"/>
    <w:rsid w:val="001936D9"/>
    <w:rsid w:val="00194E28"/>
    <w:rsid w:val="00196126"/>
    <w:rsid w:val="0019625A"/>
    <w:rsid w:val="001968FF"/>
    <w:rsid w:val="00197059"/>
    <w:rsid w:val="00197941"/>
    <w:rsid w:val="00197F76"/>
    <w:rsid w:val="001A0B3C"/>
    <w:rsid w:val="001A4C05"/>
    <w:rsid w:val="001A7177"/>
    <w:rsid w:val="001A7241"/>
    <w:rsid w:val="001B0CEF"/>
    <w:rsid w:val="001B174D"/>
    <w:rsid w:val="001B4FAA"/>
    <w:rsid w:val="001B709C"/>
    <w:rsid w:val="001B746F"/>
    <w:rsid w:val="001B7A9C"/>
    <w:rsid w:val="001B7B97"/>
    <w:rsid w:val="001C09AA"/>
    <w:rsid w:val="001C12E4"/>
    <w:rsid w:val="001C29FA"/>
    <w:rsid w:val="001C2CD3"/>
    <w:rsid w:val="001C75D0"/>
    <w:rsid w:val="001C7865"/>
    <w:rsid w:val="001C7B57"/>
    <w:rsid w:val="001D384D"/>
    <w:rsid w:val="001D4FF8"/>
    <w:rsid w:val="001D6220"/>
    <w:rsid w:val="001D67D9"/>
    <w:rsid w:val="001D7B55"/>
    <w:rsid w:val="001E2A49"/>
    <w:rsid w:val="001E2CD5"/>
    <w:rsid w:val="001E4E4E"/>
    <w:rsid w:val="001E5F6F"/>
    <w:rsid w:val="001E6E36"/>
    <w:rsid w:val="001F0546"/>
    <w:rsid w:val="00200BCF"/>
    <w:rsid w:val="00200F7D"/>
    <w:rsid w:val="00201A00"/>
    <w:rsid w:val="00202DF5"/>
    <w:rsid w:val="0020319B"/>
    <w:rsid w:val="00203E38"/>
    <w:rsid w:val="002048A5"/>
    <w:rsid w:val="0020532E"/>
    <w:rsid w:val="0020562A"/>
    <w:rsid w:val="00207051"/>
    <w:rsid w:val="002074D8"/>
    <w:rsid w:val="00210B1B"/>
    <w:rsid w:val="00210D6C"/>
    <w:rsid w:val="00211F4C"/>
    <w:rsid w:val="0021270C"/>
    <w:rsid w:val="0021428F"/>
    <w:rsid w:val="00214E52"/>
    <w:rsid w:val="0021574A"/>
    <w:rsid w:val="00216B15"/>
    <w:rsid w:val="00216E65"/>
    <w:rsid w:val="002238C2"/>
    <w:rsid w:val="00223AE4"/>
    <w:rsid w:val="002243C8"/>
    <w:rsid w:val="00224B8D"/>
    <w:rsid w:val="00224E4A"/>
    <w:rsid w:val="0023405F"/>
    <w:rsid w:val="00234806"/>
    <w:rsid w:val="00234B05"/>
    <w:rsid w:val="00234D26"/>
    <w:rsid w:val="002357FA"/>
    <w:rsid w:val="00235BE0"/>
    <w:rsid w:val="00236D03"/>
    <w:rsid w:val="002402BD"/>
    <w:rsid w:val="00240B4E"/>
    <w:rsid w:val="0024101F"/>
    <w:rsid w:val="00241074"/>
    <w:rsid w:val="002415BA"/>
    <w:rsid w:val="00241AFF"/>
    <w:rsid w:val="00241B38"/>
    <w:rsid w:val="00245D0D"/>
    <w:rsid w:val="00245E62"/>
    <w:rsid w:val="002467A5"/>
    <w:rsid w:val="002501BA"/>
    <w:rsid w:val="002501C1"/>
    <w:rsid w:val="00250723"/>
    <w:rsid w:val="00250806"/>
    <w:rsid w:val="002508A3"/>
    <w:rsid w:val="00251AFF"/>
    <w:rsid w:val="002538C8"/>
    <w:rsid w:val="0025431B"/>
    <w:rsid w:val="002558F6"/>
    <w:rsid w:val="00256533"/>
    <w:rsid w:val="00257359"/>
    <w:rsid w:val="00257F9C"/>
    <w:rsid w:val="002613BF"/>
    <w:rsid w:val="00261C30"/>
    <w:rsid w:val="0026292C"/>
    <w:rsid w:val="00263196"/>
    <w:rsid w:val="00263D9C"/>
    <w:rsid w:val="00263E3E"/>
    <w:rsid w:val="00264CE8"/>
    <w:rsid w:val="00265131"/>
    <w:rsid w:val="002660EB"/>
    <w:rsid w:val="0027007D"/>
    <w:rsid w:val="002700C7"/>
    <w:rsid w:val="0027248B"/>
    <w:rsid w:val="002726AA"/>
    <w:rsid w:val="00272EB0"/>
    <w:rsid w:val="00277C10"/>
    <w:rsid w:val="00277E94"/>
    <w:rsid w:val="00283BA9"/>
    <w:rsid w:val="00283EBE"/>
    <w:rsid w:val="00285B7B"/>
    <w:rsid w:val="0029055E"/>
    <w:rsid w:val="00291537"/>
    <w:rsid w:val="002936A3"/>
    <w:rsid w:val="002948E3"/>
    <w:rsid w:val="00296F21"/>
    <w:rsid w:val="00297372"/>
    <w:rsid w:val="00297819"/>
    <w:rsid w:val="002A0BDB"/>
    <w:rsid w:val="002A277F"/>
    <w:rsid w:val="002A47AB"/>
    <w:rsid w:val="002A7553"/>
    <w:rsid w:val="002A7E00"/>
    <w:rsid w:val="002B0228"/>
    <w:rsid w:val="002B48C4"/>
    <w:rsid w:val="002B4E8D"/>
    <w:rsid w:val="002B5DE1"/>
    <w:rsid w:val="002B5FC0"/>
    <w:rsid w:val="002B650A"/>
    <w:rsid w:val="002B72E8"/>
    <w:rsid w:val="002C03FA"/>
    <w:rsid w:val="002C1296"/>
    <w:rsid w:val="002C174D"/>
    <w:rsid w:val="002C1CA8"/>
    <w:rsid w:val="002C2E0E"/>
    <w:rsid w:val="002C3582"/>
    <w:rsid w:val="002C3DD5"/>
    <w:rsid w:val="002C5955"/>
    <w:rsid w:val="002C5974"/>
    <w:rsid w:val="002C60C2"/>
    <w:rsid w:val="002C6A0D"/>
    <w:rsid w:val="002D1074"/>
    <w:rsid w:val="002D4941"/>
    <w:rsid w:val="002D6506"/>
    <w:rsid w:val="002D66BE"/>
    <w:rsid w:val="002E1AE7"/>
    <w:rsid w:val="002E2BCA"/>
    <w:rsid w:val="002E3093"/>
    <w:rsid w:val="002E34B3"/>
    <w:rsid w:val="002E4441"/>
    <w:rsid w:val="002E64D7"/>
    <w:rsid w:val="002E68EC"/>
    <w:rsid w:val="002E6BD7"/>
    <w:rsid w:val="002E750D"/>
    <w:rsid w:val="002E7970"/>
    <w:rsid w:val="002F2D77"/>
    <w:rsid w:val="002F53D9"/>
    <w:rsid w:val="002F595E"/>
    <w:rsid w:val="002F5D8E"/>
    <w:rsid w:val="00300047"/>
    <w:rsid w:val="00300807"/>
    <w:rsid w:val="0030085F"/>
    <w:rsid w:val="00300E9B"/>
    <w:rsid w:val="00302D75"/>
    <w:rsid w:val="00305681"/>
    <w:rsid w:val="00310088"/>
    <w:rsid w:val="003117F6"/>
    <w:rsid w:val="0031211E"/>
    <w:rsid w:val="00313D09"/>
    <w:rsid w:val="0031451D"/>
    <w:rsid w:val="00314C4B"/>
    <w:rsid w:val="003153F6"/>
    <w:rsid w:val="00315573"/>
    <w:rsid w:val="00321E33"/>
    <w:rsid w:val="0032489C"/>
    <w:rsid w:val="00324DC0"/>
    <w:rsid w:val="00327CD2"/>
    <w:rsid w:val="003305E9"/>
    <w:rsid w:val="00331730"/>
    <w:rsid w:val="003320A5"/>
    <w:rsid w:val="0033267D"/>
    <w:rsid w:val="00332EBA"/>
    <w:rsid w:val="00334A79"/>
    <w:rsid w:val="00334ABD"/>
    <w:rsid w:val="0033504F"/>
    <w:rsid w:val="00336575"/>
    <w:rsid w:val="003418A3"/>
    <w:rsid w:val="00342336"/>
    <w:rsid w:val="00342470"/>
    <w:rsid w:val="00344390"/>
    <w:rsid w:val="003447C7"/>
    <w:rsid w:val="00344D4A"/>
    <w:rsid w:val="00344FBD"/>
    <w:rsid w:val="00346DC7"/>
    <w:rsid w:val="00350307"/>
    <w:rsid w:val="00350BC4"/>
    <w:rsid w:val="00350F08"/>
    <w:rsid w:val="003516B3"/>
    <w:rsid w:val="0035281B"/>
    <w:rsid w:val="00353800"/>
    <w:rsid w:val="0035497D"/>
    <w:rsid w:val="003554E2"/>
    <w:rsid w:val="0035658A"/>
    <w:rsid w:val="00356D19"/>
    <w:rsid w:val="00360CCF"/>
    <w:rsid w:val="003615DB"/>
    <w:rsid w:val="003622A5"/>
    <w:rsid w:val="003631F5"/>
    <w:rsid w:val="00363210"/>
    <w:rsid w:val="0036666C"/>
    <w:rsid w:val="00366C34"/>
    <w:rsid w:val="00366CD9"/>
    <w:rsid w:val="00371642"/>
    <w:rsid w:val="003728AC"/>
    <w:rsid w:val="0037365E"/>
    <w:rsid w:val="0037401C"/>
    <w:rsid w:val="003742F5"/>
    <w:rsid w:val="00375215"/>
    <w:rsid w:val="00375283"/>
    <w:rsid w:val="0037568D"/>
    <w:rsid w:val="003756D8"/>
    <w:rsid w:val="00375EDD"/>
    <w:rsid w:val="0037667D"/>
    <w:rsid w:val="00376B06"/>
    <w:rsid w:val="00376FDC"/>
    <w:rsid w:val="00382970"/>
    <w:rsid w:val="003834A2"/>
    <w:rsid w:val="0038553C"/>
    <w:rsid w:val="00387E8C"/>
    <w:rsid w:val="00390578"/>
    <w:rsid w:val="0039278B"/>
    <w:rsid w:val="00392A96"/>
    <w:rsid w:val="00392C80"/>
    <w:rsid w:val="003933D2"/>
    <w:rsid w:val="00395640"/>
    <w:rsid w:val="0039627F"/>
    <w:rsid w:val="003968E9"/>
    <w:rsid w:val="00397198"/>
    <w:rsid w:val="003975FD"/>
    <w:rsid w:val="003A0B34"/>
    <w:rsid w:val="003A0F8B"/>
    <w:rsid w:val="003A3FF7"/>
    <w:rsid w:val="003A6B46"/>
    <w:rsid w:val="003A7828"/>
    <w:rsid w:val="003A7D8A"/>
    <w:rsid w:val="003B154B"/>
    <w:rsid w:val="003B650F"/>
    <w:rsid w:val="003C0F90"/>
    <w:rsid w:val="003C13AE"/>
    <w:rsid w:val="003C1AE5"/>
    <w:rsid w:val="003C2742"/>
    <w:rsid w:val="003C28DA"/>
    <w:rsid w:val="003C2929"/>
    <w:rsid w:val="003C29EF"/>
    <w:rsid w:val="003C2D90"/>
    <w:rsid w:val="003C4645"/>
    <w:rsid w:val="003C4F91"/>
    <w:rsid w:val="003D0666"/>
    <w:rsid w:val="003D39A3"/>
    <w:rsid w:val="003D3A94"/>
    <w:rsid w:val="003D3EB6"/>
    <w:rsid w:val="003D4015"/>
    <w:rsid w:val="003D532B"/>
    <w:rsid w:val="003D64A8"/>
    <w:rsid w:val="003D654E"/>
    <w:rsid w:val="003D6892"/>
    <w:rsid w:val="003D69A4"/>
    <w:rsid w:val="003D6A55"/>
    <w:rsid w:val="003E07F6"/>
    <w:rsid w:val="003E151A"/>
    <w:rsid w:val="003E3CB9"/>
    <w:rsid w:val="003E5E03"/>
    <w:rsid w:val="003E675E"/>
    <w:rsid w:val="003E7510"/>
    <w:rsid w:val="003E779D"/>
    <w:rsid w:val="003E7AF1"/>
    <w:rsid w:val="003F2117"/>
    <w:rsid w:val="003F481F"/>
    <w:rsid w:val="00400A6B"/>
    <w:rsid w:val="004046E9"/>
    <w:rsid w:val="00406E59"/>
    <w:rsid w:val="00410024"/>
    <w:rsid w:val="004118F3"/>
    <w:rsid w:val="004124F2"/>
    <w:rsid w:val="00413C3C"/>
    <w:rsid w:val="00414DBE"/>
    <w:rsid w:val="00415093"/>
    <w:rsid w:val="0041520B"/>
    <w:rsid w:val="00421094"/>
    <w:rsid w:val="0042238C"/>
    <w:rsid w:val="004238E9"/>
    <w:rsid w:val="00426573"/>
    <w:rsid w:val="0042774F"/>
    <w:rsid w:val="00430712"/>
    <w:rsid w:val="00431322"/>
    <w:rsid w:val="00433205"/>
    <w:rsid w:val="00433D07"/>
    <w:rsid w:val="00433EBE"/>
    <w:rsid w:val="004342D6"/>
    <w:rsid w:val="00434D91"/>
    <w:rsid w:val="00435048"/>
    <w:rsid w:val="00435152"/>
    <w:rsid w:val="00435574"/>
    <w:rsid w:val="00435754"/>
    <w:rsid w:val="00441D44"/>
    <w:rsid w:val="004424B2"/>
    <w:rsid w:val="0044290A"/>
    <w:rsid w:val="00443158"/>
    <w:rsid w:val="004431EA"/>
    <w:rsid w:val="004457D0"/>
    <w:rsid w:val="00445DEB"/>
    <w:rsid w:val="004466BA"/>
    <w:rsid w:val="00447407"/>
    <w:rsid w:val="00447ED1"/>
    <w:rsid w:val="00450B2B"/>
    <w:rsid w:val="00451689"/>
    <w:rsid w:val="00451FE0"/>
    <w:rsid w:val="00452145"/>
    <w:rsid w:val="00452166"/>
    <w:rsid w:val="0045396D"/>
    <w:rsid w:val="00453E1D"/>
    <w:rsid w:val="004546A6"/>
    <w:rsid w:val="004548B6"/>
    <w:rsid w:val="00457F46"/>
    <w:rsid w:val="0046121A"/>
    <w:rsid w:val="00461AFC"/>
    <w:rsid w:val="004620AB"/>
    <w:rsid w:val="004634DF"/>
    <w:rsid w:val="00464AA2"/>
    <w:rsid w:val="00464BA0"/>
    <w:rsid w:val="0046539B"/>
    <w:rsid w:val="004701AB"/>
    <w:rsid w:val="00470996"/>
    <w:rsid w:val="00471D1A"/>
    <w:rsid w:val="00472B85"/>
    <w:rsid w:val="00476532"/>
    <w:rsid w:val="00476A7D"/>
    <w:rsid w:val="00476DA6"/>
    <w:rsid w:val="00480557"/>
    <w:rsid w:val="004836A1"/>
    <w:rsid w:val="00484AD8"/>
    <w:rsid w:val="00486FBB"/>
    <w:rsid w:val="004874FF"/>
    <w:rsid w:val="00487EA3"/>
    <w:rsid w:val="00490383"/>
    <w:rsid w:val="00490CFE"/>
    <w:rsid w:val="004924C4"/>
    <w:rsid w:val="0049284C"/>
    <w:rsid w:val="00492981"/>
    <w:rsid w:val="00492C59"/>
    <w:rsid w:val="0049356A"/>
    <w:rsid w:val="00496004"/>
    <w:rsid w:val="00496C85"/>
    <w:rsid w:val="0049787A"/>
    <w:rsid w:val="00497EF8"/>
    <w:rsid w:val="004A0764"/>
    <w:rsid w:val="004A25A0"/>
    <w:rsid w:val="004A37E5"/>
    <w:rsid w:val="004A6193"/>
    <w:rsid w:val="004A641B"/>
    <w:rsid w:val="004B1E3B"/>
    <w:rsid w:val="004B413A"/>
    <w:rsid w:val="004B5DCD"/>
    <w:rsid w:val="004B6C15"/>
    <w:rsid w:val="004B6E66"/>
    <w:rsid w:val="004B7347"/>
    <w:rsid w:val="004B7672"/>
    <w:rsid w:val="004C0D5D"/>
    <w:rsid w:val="004C21E9"/>
    <w:rsid w:val="004C26B5"/>
    <w:rsid w:val="004C2BE8"/>
    <w:rsid w:val="004C3E39"/>
    <w:rsid w:val="004C4EDD"/>
    <w:rsid w:val="004C5E37"/>
    <w:rsid w:val="004D1534"/>
    <w:rsid w:val="004D19AE"/>
    <w:rsid w:val="004D2D3A"/>
    <w:rsid w:val="004D3125"/>
    <w:rsid w:val="004D3AC0"/>
    <w:rsid w:val="004D67EF"/>
    <w:rsid w:val="004D6881"/>
    <w:rsid w:val="004E0BFF"/>
    <w:rsid w:val="004E3C01"/>
    <w:rsid w:val="004E47F8"/>
    <w:rsid w:val="004E7045"/>
    <w:rsid w:val="004F34A3"/>
    <w:rsid w:val="004F3B18"/>
    <w:rsid w:val="004F4990"/>
    <w:rsid w:val="004F4B19"/>
    <w:rsid w:val="004F7A18"/>
    <w:rsid w:val="00500B82"/>
    <w:rsid w:val="00500EC4"/>
    <w:rsid w:val="00501E88"/>
    <w:rsid w:val="00502460"/>
    <w:rsid w:val="00502E4D"/>
    <w:rsid w:val="00504C48"/>
    <w:rsid w:val="00505187"/>
    <w:rsid w:val="005051E0"/>
    <w:rsid w:val="00505551"/>
    <w:rsid w:val="00511530"/>
    <w:rsid w:val="00511EE0"/>
    <w:rsid w:val="00512BD9"/>
    <w:rsid w:val="00517D4A"/>
    <w:rsid w:val="0052288C"/>
    <w:rsid w:val="00522D4F"/>
    <w:rsid w:val="005232E6"/>
    <w:rsid w:val="00525064"/>
    <w:rsid w:val="0052716B"/>
    <w:rsid w:val="0052755F"/>
    <w:rsid w:val="0053055E"/>
    <w:rsid w:val="00530DB9"/>
    <w:rsid w:val="00531412"/>
    <w:rsid w:val="005319BD"/>
    <w:rsid w:val="00531DD3"/>
    <w:rsid w:val="00532026"/>
    <w:rsid w:val="00532302"/>
    <w:rsid w:val="0053245B"/>
    <w:rsid w:val="0053287B"/>
    <w:rsid w:val="00533435"/>
    <w:rsid w:val="00535C92"/>
    <w:rsid w:val="00535D28"/>
    <w:rsid w:val="00535DDF"/>
    <w:rsid w:val="00536573"/>
    <w:rsid w:val="00536E89"/>
    <w:rsid w:val="005377BA"/>
    <w:rsid w:val="00540F73"/>
    <w:rsid w:val="00541FCD"/>
    <w:rsid w:val="00542B2D"/>
    <w:rsid w:val="00545BF1"/>
    <w:rsid w:val="00545F81"/>
    <w:rsid w:val="00546092"/>
    <w:rsid w:val="0054761A"/>
    <w:rsid w:val="005508F4"/>
    <w:rsid w:val="00551A2B"/>
    <w:rsid w:val="0055275C"/>
    <w:rsid w:val="00552C5B"/>
    <w:rsid w:val="005536E0"/>
    <w:rsid w:val="00553D9D"/>
    <w:rsid w:val="00554D83"/>
    <w:rsid w:val="00554F1E"/>
    <w:rsid w:val="00555EEE"/>
    <w:rsid w:val="0055642A"/>
    <w:rsid w:val="005573F5"/>
    <w:rsid w:val="0056231A"/>
    <w:rsid w:val="005624D6"/>
    <w:rsid w:val="00563778"/>
    <w:rsid w:val="00564A15"/>
    <w:rsid w:val="00565179"/>
    <w:rsid w:val="0056679E"/>
    <w:rsid w:val="005675F2"/>
    <w:rsid w:val="00571004"/>
    <w:rsid w:val="00574902"/>
    <w:rsid w:val="005759E0"/>
    <w:rsid w:val="00575DFD"/>
    <w:rsid w:val="00576530"/>
    <w:rsid w:val="00581082"/>
    <w:rsid w:val="005817CA"/>
    <w:rsid w:val="00581843"/>
    <w:rsid w:val="005825A3"/>
    <w:rsid w:val="0058300A"/>
    <w:rsid w:val="00583489"/>
    <w:rsid w:val="00586292"/>
    <w:rsid w:val="00590869"/>
    <w:rsid w:val="00590B0D"/>
    <w:rsid w:val="00591411"/>
    <w:rsid w:val="00591945"/>
    <w:rsid w:val="00591C5E"/>
    <w:rsid w:val="005954DA"/>
    <w:rsid w:val="00596BC5"/>
    <w:rsid w:val="005A0C2C"/>
    <w:rsid w:val="005A2D9C"/>
    <w:rsid w:val="005A33D8"/>
    <w:rsid w:val="005A4A43"/>
    <w:rsid w:val="005A6749"/>
    <w:rsid w:val="005A698F"/>
    <w:rsid w:val="005A7CFE"/>
    <w:rsid w:val="005B1104"/>
    <w:rsid w:val="005B198A"/>
    <w:rsid w:val="005B24AA"/>
    <w:rsid w:val="005B30C4"/>
    <w:rsid w:val="005B3857"/>
    <w:rsid w:val="005C09BC"/>
    <w:rsid w:val="005C1108"/>
    <w:rsid w:val="005C353C"/>
    <w:rsid w:val="005C366F"/>
    <w:rsid w:val="005C3EDE"/>
    <w:rsid w:val="005D121D"/>
    <w:rsid w:val="005D1F33"/>
    <w:rsid w:val="005D39FA"/>
    <w:rsid w:val="005D3D05"/>
    <w:rsid w:val="005D6036"/>
    <w:rsid w:val="005D643C"/>
    <w:rsid w:val="005D65B9"/>
    <w:rsid w:val="005E25A9"/>
    <w:rsid w:val="005E372E"/>
    <w:rsid w:val="005E3FC2"/>
    <w:rsid w:val="005E58AF"/>
    <w:rsid w:val="005F03CC"/>
    <w:rsid w:val="005F12C3"/>
    <w:rsid w:val="005F18FB"/>
    <w:rsid w:val="005F1E2E"/>
    <w:rsid w:val="005F24A3"/>
    <w:rsid w:val="005F4987"/>
    <w:rsid w:val="005F688B"/>
    <w:rsid w:val="00600D87"/>
    <w:rsid w:val="00601223"/>
    <w:rsid w:val="00602655"/>
    <w:rsid w:val="0060310E"/>
    <w:rsid w:val="006067B6"/>
    <w:rsid w:val="006070D7"/>
    <w:rsid w:val="00607D8C"/>
    <w:rsid w:val="0061005B"/>
    <w:rsid w:val="0061028B"/>
    <w:rsid w:val="00611891"/>
    <w:rsid w:val="00612969"/>
    <w:rsid w:val="00613759"/>
    <w:rsid w:val="006138F1"/>
    <w:rsid w:val="00613B57"/>
    <w:rsid w:val="00614831"/>
    <w:rsid w:val="00616203"/>
    <w:rsid w:val="00616F82"/>
    <w:rsid w:val="00617876"/>
    <w:rsid w:val="006202AE"/>
    <w:rsid w:val="00621825"/>
    <w:rsid w:val="00621970"/>
    <w:rsid w:val="0062245E"/>
    <w:rsid w:val="00622AD1"/>
    <w:rsid w:val="006230B1"/>
    <w:rsid w:val="00627D38"/>
    <w:rsid w:val="00631508"/>
    <w:rsid w:val="00631514"/>
    <w:rsid w:val="00631556"/>
    <w:rsid w:val="00631ECA"/>
    <w:rsid w:val="0063355D"/>
    <w:rsid w:val="00636224"/>
    <w:rsid w:val="00636B37"/>
    <w:rsid w:val="00637B51"/>
    <w:rsid w:val="00641DB2"/>
    <w:rsid w:val="006424C6"/>
    <w:rsid w:val="006435D2"/>
    <w:rsid w:val="00643E4F"/>
    <w:rsid w:val="0064414B"/>
    <w:rsid w:val="006455E7"/>
    <w:rsid w:val="00646DA6"/>
    <w:rsid w:val="0065072C"/>
    <w:rsid w:val="00652837"/>
    <w:rsid w:val="0065362C"/>
    <w:rsid w:val="00653E1F"/>
    <w:rsid w:val="006552A9"/>
    <w:rsid w:val="006564D6"/>
    <w:rsid w:val="006567C6"/>
    <w:rsid w:val="00656C26"/>
    <w:rsid w:val="00656F4D"/>
    <w:rsid w:val="00657737"/>
    <w:rsid w:val="00660E37"/>
    <w:rsid w:val="00661656"/>
    <w:rsid w:val="0066391B"/>
    <w:rsid w:val="00666127"/>
    <w:rsid w:val="0066793A"/>
    <w:rsid w:val="00670D92"/>
    <w:rsid w:val="00670E0F"/>
    <w:rsid w:val="0067379F"/>
    <w:rsid w:val="00674FDC"/>
    <w:rsid w:val="00675269"/>
    <w:rsid w:val="00675A6B"/>
    <w:rsid w:val="0067696D"/>
    <w:rsid w:val="00680BFB"/>
    <w:rsid w:val="00682304"/>
    <w:rsid w:val="00683796"/>
    <w:rsid w:val="006855C9"/>
    <w:rsid w:val="006865CD"/>
    <w:rsid w:val="006871F5"/>
    <w:rsid w:val="00692567"/>
    <w:rsid w:val="0069507C"/>
    <w:rsid w:val="00695C5E"/>
    <w:rsid w:val="00696520"/>
    <w:rsid w:val="006A07FC"/>
    <w:rsid w:val="006A132A"/>
    <w:rsid w:val="006A5179"/>
    <w:rsid w:val="006B28EF"/>
    <w:rsid w:val="006B41A8"/>
    <w:rsid w:val="006B4F8F"/>
    <w:rsid w:val="006B54DB"/>
    <w:rsid w:val="006B6B0A"/>
    <w:rsid w:val="006B7396"/>
    <w:rsid w:val="006C0724"/>
    <w:rsid w:val="006C0AC9"/>
    <w:rsid w:val="006C14F7"/>
    <w:rsid w:val="006C1719"/>
    <w:rsid w:val="006C48ED"/>
    <w:rsid w:val="006C54C8"/>
    <w:rsid w:val="006C5574"/>
    <w:rsid w:val="006C5709"/>
    <w:rsid w:val="006D113D"/>
    <w:rsid w:val="006D177F"/>
    <w:rsid w:val="006D359F"/>
    <w:rsid w:val="006D5020"/>
    <w:rsid w:val="006D6A3E"/>
    <w:rsid w:val="006E0203"/>
    <w:rsid w:val="006E11FF"/>
    <w:rsid w:val="006E1C29"/>
    <w:rsid w:val="006E259C"/>
    <w:rsid w:val="006E3DA6"/>
    <w:rsid w:val="006E420A"/>
    <w:rsid w:val="006E4E0D"/>
    <w:rsid w:val="006E58CD"/>
    <w:rsid w:val="006E5CA7"/>
    <w:rsid w:val="006E6E8E"/>
    <w:rsid w:val="006E6EC1"/>
    <w:rsid w:val="006F02BC"/>
    <w:rsid w:val="006F097F"/>
    <w:rsid w:val="006F2487"/>
    <w:rsid w:val="006F40D1"/>
    <w:rsid w:val="006F49E6"/>
    <w:rsid w:val="006F5316"/>
    <w:rsid w:val="006F5B1E"/>
    <w:rsid w:val="006F6750"/>
    <w:rsid w:val="006F7109"/>
    <w:rsid w:val="006F7F5D"/>
    <w:rsid w:val="00705AA0"/>
    <w:rsid w:val="00705F83"/>
    <w:rsid w:val="0070657E"/>
    <w:rsid w:val="0071033D"/>
    <w:rsid w:val="007104BB"/>
    <w:rsid w:val="00711079"/>
    <w:rsid w:val="007127DF"/>
    <w:rsid w:val="00713547"/>
    <w:rsid w:val="00715D9B"/>
    <w:rsid w:val="00716870"/>
    <w:rsid w:val="00716A83"/>
    <w:rsid w:val="00716DC0"/>
    <w:rsid w:val="00717481"/>
    <w:rsid w:val="00717690"/>
    <w:rsid w:val="00720849"/>
    <w:rsid w:val="00721C89"/>
    <w:rsid w:val="007239B5"/>
    <w:rsid w:val="00725B35"/>
    <w:rsid w:val="00727F47"/>
    <w:rsid w:val="00731148"/>
    <w:rsid w:val="00733017"/>
    <w:rsid w:val="007347F5"/>
    <w:rsid w:val="007358F7"/>
    <w:rsid w:val="00736FEF"/>
    <w:rsid w:val="00737336"/>
    <w:rsid w:val="0074038D"/>
    <w:rsid w:val="0074062C"/>
    <w:rsid w:val="0074156B"/>
    <w:rsid w:val="0074231A"/>
    <w:rsid w:val="0074306F"/>
    <w:rsid w:val="0074416B"/>
    <w:rsid w:val="00745353"/>
    <w:rsid w:val="00745540"/>
    <w:rsid w:val="00746219"/>
    <w:rsid w:val="00750F58"/>
    <w:rsid w:val="007521C6"/>
    <w:rsid w:val="00754348"/>
    <w:rsid w:val="00755543"/>
    <w:rsid w:val="00755D17"/>
    <w:rsid w:val="0075637D"/>
    <w:rsid w:val="007570B5"/>
    <w:rsid w:val="00757804"/>
    <w:rsid w:val="007608E8"/>
    <w:rsid w:val="00760AD1"/>
    <w:rsid w:val="0076282A"/>
    <w:rsid w:val="00762903"/>
    <w:rsid w:val="00763FA3"/>
    <w:rsid w:val="00765FE1"/>
    <w:rsid w:val="00770678"/>
    <w:rsid w:val="00771AC6"/>
    <w:rsid w:val="00771E70"/>
    <w:rsid w:val="00772665"/>
    <w:rsid w:val="00772BF5"/>
    <w:rsid w:val="00773024"/>
    <w:rsid w:val="007746E3"/>
    <w:rsid w:val="007757A0"/>
    <w:rsid w:val="00776D6B"/>
    <w:rsid w:val="00776E86"/>
    <w:rsid w:val="00777345"/>
    <w:rsid w:val="00780A98"/>
    <w:rsid w:val="00780DEE"/>
    <w:rsid w:val="0078111E"/>
    <w:rsid w:val="00781230"/>
    <w:rsid w:val="0078217B"/>
    <w:rsid w:val="00782296"/>
    <w:rsid w:val="00782D6E"/>
    <w:rsid w:val="00783E6A"/>
    <w:rsid w:val="0078490B"/>
    <w:rsid w:val="00784BCB"/>
    <w:rsid w:val="00786480"/>
    <w:rsid w:val="00786C2D"/>
    <w:rsid w:val="00795580"/>
    <w:rsid w:val="00797739"/>
    <w:rsid w:val="007A0673"/>
    <w:rsid w:val="007A0F50"/>
    <w:rsid w:val="007A1740"/>
    <w:rsid w:val="007A4F28"/>
    <w:rsid w:val="007A6103"/>
    <w:rsid w:val="007A7CD9"/>
    <w:rsid w:val="007B2376"/>
    <w:rsid w:val="007B25A1"/>
    <w:rsid w:val="007B3B2C"/>
    <w:rsid w:val="007B452E"/>
    <w:rsid w:val="007B64C8"/>
    <w:rsid w:val="007B6719"/>
    <w:rsid w:val="007C2622"/>
    <w:rsid w:val="007C3139"/>
    <w:rsid w:val="007C492E"/>
    <w:rsid w:val="007C63C4"/>
    <w:rsid w:val="007C6F5C"/>
    <w:rsid w:val="007C726F"/>
    <w:rsid w:val="007D1ACB"/>
    <w:rsid w:val="007D346D"/>
    <w:rsid w:val="007D4CF6"/>
    <w:rsid w:val="007D76E2"/>
    <w:rsid w:val="007D78D9"/>
    <w:rsid w:val="007E073B"/>
    <w:rsid w:val="007E0982"/>
    <w:rsid w:val="007E1442"/>
    <w:rsid w:val="007E1958"/>
    <w:rsid w:val="007E22BB"/>
    <w:rsid w:val="007E2334"/>
    <w:rsid w:val="007E2914"/>
    <w:rsid w:val="007E43EE"/>
    <w:rsid w:val="007E51AA"/>
    <w:rsid w:val="007E68B4"/>
    <w:rsid w:val="007F1026"/>
    <w:rsid w:val="007F1F2F"/>
    <w:rsid w:val="007F2402"/>
    <w:rsid w:val="007F254D"/>
    <w:rsid w:val="007F2D07"/>
    <w:rsid w:val="007F42CD"/>
    <w:rsid w:val="007F5E52"/>
    <w:rsid w:val="007F6D10"/>
    <w:rsid w:val="00800182"/>
    <w:rsid w:val="00804D01"/>
    <w:rsid w:val="00805ED2"/>
    <w:rsid w:val="00811DFB"/>
    <w:rsid w:val="00812360"/>
    <w:rsid w:val="00813183"/>
    <w:rsid w:val="00814170"/>
    <w:rsid w:val="008142DF"/>
    <w:rsid w:val="00814436"/>
    <w:rsid w:val="00815521"/>
    <w:rsid w:val="008161E9"/>
    <w:rsid w:val="008162B0"/>
    <w:rsid w:val="008170D2"/>
    <w:rsid w:val="00820AF2"/>
    <w:rsid w:val="00821C3B"/>
    <w:rsid w:val="00822ED6"/>
    <w:rsid w:val="00827B0C"/>
    <w:rsid w:val="008301A0"/>
    <w:rsid w:val="0083261E"/>
    <w:rsid w:val="00832D58"/>
    <w:rsid w:val="00833590"/>
    <w:rsid w:val="008343AD"/>
    <w:rsid w:val="0083460F"/>
    <w:rsid w:val="008371BF"/>
    <w:rsid w:val="00837B1E"/>
    <w:rsid w:val="00840C9B"/>
    <w:rsid w:val="0084137C"/>
    <w:rsid w:val="00842DBC"/>
    <w:rsid w:val="00844E9F"/>
    <w:rsid w:val="008457E8"/>
    <w:rsid w:val="00845B0B"/>
    <w:rsid w:val="00846312"/>
    <w:rsid w:val="00846488"/>
    <w:rsid w:val="008477A1"/>
    <w:rsid w:val="00847A04"/>
    <w:rsid w:val="00851738"/>
    <w:rsid w:val="0085236D"/>
    <w:rsid w:val="0085242B"/>
    <w:rsid w:val="008532A8"/>
    <w:rsid w:val="0085426A"/>
    <w:rsid w:val="0085740C"/>
    <w:rsid w:val="00857EED"/>
    <w:rsid w:val="00861943"/>
    <w:rsid w:val="00864B14"/>
    <w:rsid w:val="008673CF"/>
    <w:rsid w:val="00867F3A"/>
    <w:rsid w:val="008702C5"/>
    <w:rsid w:val="00873307"/>
    <w:rsid w:val="00875343"/>
    <w:rsid w:val="0087543F"/>
    <w:rsid w:val="008755A6"/>
    <w:rsid w:val="0087560B"/>
    <w:rsid w:val="00875BA7"/>
    <w:rsid w:val="00876944"/>
    <w:rsid w:val="00876F4F"/>
    <w:rsid w:val="008770B7"/>
    <w:rsid w:val="00877B0B"/>
    <w:rsid w:val="00877FE0"/>
    <w:rsid w:val="00883AEC"/>
    <w:rsid w:val="00884BDA"/>
    <w:rsid w:val="00890168"/>
    <w:rsid w:val="00891726"/>
    <w:rsid w:val="00893CA4"/>
    <w:rsid w:val="0089507C"/>
    <w:rsid w:val="00895D40"/>
    <w:rsid w:val="008969D1"/>
    <w:rsid w:val="008A0321"/>
    <w:rsid w:val="008A1D05"/>
    <w:rsid w:val="008A2249"/>
    <w:rsid w:val="008A2426"/>
    <w:rsid w:val="008A354A"/>
    <w:rsid w:val="008A35DB"/>
    <w:rsid w:val="008A361A"/>
    <w:rsid w:val="008A7878"/>
    <w:rsid w:val="008B1661"/>
    <w:rsid w:val="008B28E7"/>
    <w:rsid w:val="008B2E25"/>
    <w:rsid w:val="008B3391"/>
    <w:rsid w:val="008B34EC"/>
    <w:rsid w:val="008B37CB"/>
    <w:rsid w:val="008B49AA"/>
    <w:rsid w:val="008B6B9F"/>
    <w:rsid w:val="008B7FCA"/>
    <w:rsid w:val="008C0E5E"/>
    <w:rsid w:val="008C123B"/>
    <w:rsid w:val="008C72E0"/>
    <w:rsid w:val="008C773A"/>
    <w:rsid w:val="008D1093"/>
    <w:rsid w:val="008D2350"/>
    <w:rsid w:val="008D25BE"/>
    <w:rsid w:val="008D273D"/>
    <w:rsid w:val="008D34B1"/>
    <w:rsid w:val="008D3929"/>
    <w:rsid w:val="008D3E79"/>
    <w:rsid w:val="008D511D"/>
    <w:rsid w:val="008D68BF"/>
    <w:rsid w:val="008E0476"/>
    <w:rsid w:val="008E132D"/>
    <w:rsid w:val="008E1561"/>
    <w:rsid w:val="008E234F"/>
    <w:rsid w:val="008E28B7"/>
    <w:rsid w:val="008E300E"/>
    <w:rsid w:val="008E34C9"/>
    <w:rsid w:val="008E3D48"/>
    <w:rsid w:val="008E4384"/>
    <w:rsid w:val="008E44BC"/>
    <w:rsid w:val="008E6711"/>
    <w:rsid w:val="008E67BF"/>
    <w:rsid w:val="008F0076"/>
    <w:rsid w:val="008F2929"/>
    <w:rsid w:val="008F34E3"/>
    <w:rsid w:val="008F4CE1"/>
    <w:rsid w:val="008F59E9"/>
    <w:rsid w:val="008F6287"/>
    <w:rsid w:val="008F730C"/>
    <w:rsid w:val="00900F73"/>
    <w:rsid w:val="00901654"/>
    <w:rsid w:val="00901CF5"/>
    <w:rsid w:val="0090684E"/>
    <w:rsid w:val="00906C0B"/>
    <w:rsid w:val="00907148"/>
    <w:rsid w:val="00907476"/>
    <w:rsid w:val="00910FD5"/>
    <w:rsid w:val="00912C6F"/>
    <w:rsid w:val="00913615"/>
    <w:rsid w:val="00913F67"/>
    <w:rsid w:val="00915149"/>
    <w:rsid w:val="00916BA1"/>
    <w:rsid w:val="009200EA"/>
    <w:rsid w:val="009202C8"/>
    <w:rsid w:val="00923823"/>
    <w:rsid w:val="00924A69"/>
    <w:rsid w:val="009269A1"/>
    <w:rsid w:val="009303FD"/>
    <w:rsid w:val="00932CAD"/>
    <w:rsid w:val="00933171"/>
    <w:rsid w:val="00933CF9"/>
    <w:rsid w:val="0093460D"/>
    <w:rsid w:val="00935BAC"/>
    <w:rsid w:val="00936D28"/>
    <w:rsid w:val="0094181B"/>
    <w:rsid w:val="00941905"/>
    <w:rsid w:val="009428D9"/>
    <w:rsid w:val="009430CE"/>
    <w:rsid w:val="0094339D"/>
    <w:rsid w:val="0094586A"/>
    <w:rsid w:val="00947DE5"/>
    <w:rsid w:val="0095155A"/>
    <w:rsid w:val="0095222C"/>
    <w:rsid w:val="00952BFF"/>
    <w:rsid w:val="0095503A"/>
    <w:rsid w:val="0095533F"/>
    <w:rsid w:val="00956009"/>
    <w:rsid w:val="009562D7"/>
    <w:rsid w:val="009568A7"/>
    <w:rsid w:val="009569D6"/>
    <w:rsid w:val="009610BA"/>
    <w:rsid w:val="009612BD"/>
    <w:rsid w:val="009635CC"/>
    <w:rsid w:val="0096563D"/>
    <w:rsid w:val="009660E3"/>
    <w:rsid w:val="00967532"/>
    <w:rsid w:val="009676B4"/>
    <w:rsid w:val="0096785E"/>
    <w:rsid w:val="00967D5D"/>
    <w:rsid w:val="00975553"/>
    <w:rsid w:val="009757CC"/>
    <w:rsid w:val="00975BB0"/>
    <w:rsid w:val="00976507"/>
    <w:rsid w:val="00977319"/>
    <w:rsid w:val="00981F50"/>
    <w:rsid w:val="00982389"/>
    <w:rsid w:val="00982D47"/>
    <w:rsid w:val="00984FAA"/>
    <w:rsid w:val="0098503F"/>
    <w:rsid w:val="00986134"/>
    <w:rsid w:val="0098752B"/>
    <w:rsid w:val="0099061E"/>
    <w:rsid w:val="00990E12"/>
    <w:rsid w:val="009912FB"/>
    <w:rsid w:val="009919FF"/>
    <w:rsid w:val="00993C7E"/>
    <w:rsid w:val="009959C2"/>
    <w:rsid w:val="00996F05"/>
    <w:rsid w:val="009A0C53"/>
    <w:rsid w:val="009A1031"/>
    <w:rsid w:val="009A3623"/>
    <w:rsid w:val="009A4197"/>
    <w:rsid w:val="009A4680"/>
    <w:rsid w:val="009A5543"/>
    <w:rsid w:val="009A56F4"/>
    <w:rsid w:val="009A6EBF"/>
    <w:rsid w:val="009B3629"/>
    <w:rsid w:val="009B374E"/>
    <w:rsid w:val="009B3B08"/>
    <w:rsid w:val="009B4BA4"/>
    <w:rsid w:val="009B4D39"/>
    <w:rsid w:val="009C0351"/>
    <w:rsid w:val="009C0C2F"/>
    <w:rsid w:val="009C110C"/>
    <w:rsid w:val="009C12BC"/>
    <w:rsid w:val="009C5ED7"/>
    <w:rsid w:val="009C78C2"/>
    <w:rsid w:val="009C7BCD"/>
    <w:rsid w:val="009D0112"/>
    <w:rsid w:val="009D09AB"/>
    <w:rsid w:val="009D0A93"/>
    <w:rsid w:val="009D0BA3"/>
    <w:rsid w:val="009D0E5E"/>
    <w:rsid w:val="009D1135"/>
    <w:rsid w:val="009D12C3"/>
    <w:rsid w:val="009D250D"/>
    <w:rsid w:val="009D3598"/>
    <w:rsid w:val="009D3FFA"/>
    <w:rsid w:val="009D403C"/>
    <w:rsid w:val="009D60BF"/>
    <w:rsid w:val="009D71D2"/>
    <w:rsid w:val="009D73CA"/>
    <w:rsid w:val="009D7C02"/>
    <w:rsid w:val="009E05EA"/>
    <w:rsid w:val="009E19BB"/>
    <w:rsid w:val="009E4358"/>
    <w:rsid w:val="009E78C8"/>
    <w:rsid w:val="009F3DE9"/>
    <w:rsid w:val="009F5BBD"/>
    <w:rsid w:val="009F5F59"/>
    <w:rsid w:val="009F6A57"/>
    <w:rsid w:val="00A001EC"/>
    <w:rsid w:val="00A01A54"/>
    <w:rsid w:val="00A01F36"/>
    <w:rsid w:val="00A03548"/>
    <w:rsid w:val="00A03D46"/>
    <w:rsid w:val="00A054CD"/>
    <w:rsid w:val="00A05506"/>
    <w:rsid w:val="00A05892"/>
    <w:rsid w:val="00A06C99"/>
    <w:rsid w:val="00A079C4"/>
    <w:rsid w:val="00A104EA"/>
    <w:rsid w:val="00A11870"/>
    <w:rsid w:val="00A12B61"/>
    <w:rsid w:val="00A1347E"/>
    <w:rsid w:val="00A152B9"/>
    <w:rsid w:val="00A16115"/>
    <w:rsid w:val="00A17C1C"/>
    <w:rsid w:val="00A22DB4"/>
    <w:rsid w:val="00A23129"/>
    <w:rsid w:val="00A2351D"/>
    <w:rsid w:val="00A24D38"/>
    <w:rsid w:val="00A26F7B"/>
    <w:rsid w:val="00A3104E"/>
    <w:rsid w:val="00A31FA5"/>
    <w:rsid w:val="00A3359B"/>
    <w:rsid w:val="00A3439A"/>
    <w:rsid w:val="00A34FE1"/>
    <w:rsid w:val="00A372CD"/>
    <w:rsid w:val="00A372ED"/>
    <w:rsid w:val="00A405F6"/>
    <w:rsid w:val="00A4171E"/>
    <w:rsid w:val="00A433AD"/>
    <w:rsid w:val="00A440C6"/>
    <w:rsid w:val="00A447F9"/>
    <w:rsid w:val="00A44E6B"/>
    <w:rsid w:val="00A44F5B"/>
    <w:rsid w:val="00A45187"/>
    <w:rsid w:val="00A4778F"/>
    <w:rsid w:val="00A50115"/>
    <w:rsid w:val="00A50C0D"/>
    <w:rsid w:val="00A51769"/>
    <w:rsid w:val="00A52739"/>
    <w:rsid w:val="00A542D0"/>
    <w:rsid w:val="00A55522"/>
    <w:rsid w:val="00A55C5A"/>
    <w:rsid w:val="00A63612"/>
    <w:rsid w:val="00A63CFA"/>
    <w:rsid w:val="00A6579A"/>
    <w:rsid w:val="00A66A15"/>
    <w:rsid w:val="00A6708E"/>
    <w:rsid w:val="00A717CB"/>
    <w:rsid w:val="00A80122"/>
    <w:rsid w:val="00A81653"/>
    <w:rsid w:val="00A81FA4"/>
    <w:rsid w:val="00A8252E"/>
    <w:rsid w:val="00A828CE"/>
    <w:rsid w:val="00A83F8D"/>
    <w:rsid w:val="00A8418C"/>
    <w:rsid w:val="00A8507A"/>
    <w:rsid w:val="00A86774"/>
    <w:rsid w:val="00A871B3"/>
    <w:rsid w:val="00A87CBA"/>
    <w:rsid w:val="00A9029C"/>
    <w:rsid w:val="00A90911"/>
    <w:rsid w:val="00A917CB"/>
    <w:rsid w:val="00A919DD"/>
    <w:rsid w:val="00A91A9A"/>
    <w:rsid w:val="00A91DFE"/>
    <w:rsid w:val="00A94092"/>
    <w:rsid w:val="00A95A78"/>
    <w:rsid w:val="00A96EBC"/>
    <w:rsid w:val="00A977DD"/>
    <w:rsid w:val="00A97848"/>
    <w:rsid w:val="00AA2759"/>
    <w:rsid w:val="00AA2A1C"/>
    <w:rsid w:val="00AA4214"/>
    <w:rsid w:val="00AA7318"/>
    <w:rsid w:val="00AA7AF9"/>
    <w:rsid w:val="00AB27CC"/>
    <w:rsid w:val="00AB2A6E"/>
    <w:rsid w:val="00AB5516"/>
    <w:rsid w:val="00AB5A15"/>
    <w:rsid w:val="00AB66B3"/>
    <w:rsid w:val="00AB7A35"/>
    <w:rsid w:val="00AC1DE9"/>
    <w:rsid w:val="00AC3AA6"/>
    <w:rsid w:val="00AC4F7B"/>
    <w:rsid w:val="00AC598F"/>
    <w:rsid w:val="00AC6866"/>
    <w:rsid w:val="00AD1A03"/>
    <w:rsid w:val="00AD3459"/>
    <w:rsid w:val="00AD34BD"/>
    <w:rsid w:val="00AD35CC"/>
    <w:rsid w:val="00AD3722"/>
    <w:rsid w:val="00AD6ABC"/>
    <w:rsid w:val="00AE008B"/>
    <w:rsid w:val="00AE1067"/>
    <w:rsid w:val="00AE274C"/>
    <w:rsid w:val="00AE2B73"/>
    <w:rsid w:val="00AE3163"/>
    <w:rsid w:val="00AE4731"/>
    <w:rsid w:val="00AE63EF"/>
    <w:rsid w:val="00AE65A7"/>
    <w:rsid w:val="00AE67A0"/>
    <w:rsid w:val="00AE6C9C"/>
    <w:rsid w:val="00AE7D55"/>
    <w:rsid w:val="00AF0D88"/>
    <w:rsid w:val="00AF1515"/>
    <w:rsid w:val="00AF3263"/>
    <w:rsid w:val="00AF5665"/>
    <w:rsid w:val="00B018EA"/>
    <w:rsid w:val="00B02512"/>
    <w:rsid w:val="00B029C4"/>
    <w:rsid w:val="00B02A85"/>
    <w:rsid w:val="00B03191"/>
    <w:rsid w:val="00B05B62"/>
    <w:rsid w:val="00B07170"/>
    <w:rsid w:val="00B0787C"/>
    <w:rsid w:val="00B07ECB"/>
    <w:rsid w:val="00B10511"/>
    <w:rsid w:val="00B10FF7"/>
    <w:rsid w:val="00B14084"/>
    <w:rsid w:val="00B14CF7"/>
    <w:rsid w:val="00B17C07"/>
    <w:rsid w:val="00B17F02"/>
    <w:rsid w:val="00B17FDE"/>
    <w:rsid w:val="00B204E1"/>
    <w:rsid w:val="00B21346"/>
    <w:rsid w:val="00B21A97"/>
    <w:rsid w:val="00B2287B"/>
    <w:rsid w:val="00B22AA7"/>
    <w:rsid w:val="00B23E69"/>
    <w:rsid w:val="00B2531C"/>
    <w:rsid w:val="00B267F2"/>
    <w:rsid w:val="00B270A1"/>
    <w:rsid w:val="00B27E25"/>
    <w:rsid w:val="00B31754"/>
    <w:rsid w:val="00B33F9C"/>
    <w:rsid w:val="00B342DC"/>
    <w:rsid w:val="00B34B61"/>
    <w:rsid w:val="00B3571B"/>
    <w:rsid w:val="00B35919"/>
    <w:rsid w:val="00B36D41"/>
    <w:rsid w:val="00B37111"/>
    <w:rsid w:val="00B40BCB"/>
    <w:rsid w:val="00B40D72"/>
    <w:rsid w:val="00B424CA"/>
    <w:rsid w:val="00B46BC2"/>
    <w:rsid w:val="00B50422"/>
    <w:rsid w:val="00B50967"/>
    <w:rsid w:val="00B50E24"/>
    <w:rsid w:val="00B51078"/>
    <w:rsid w:val="00B5249C"/>
    <w:rsid w:val="00B54466"/>
    <w:rsid w:val="00B577AE"/>
    <w:rsid w:val="00B57819"/>
    <w:rsid w:val="00B61738"/>
    <w:rsid w:val="00B61C69"/>
    <w:rsid w:val="00B62DCA"/>
    <w:rsid w:val="00B6358C"/>
    <w:rsid w:val="00B63658"/>
    <w:rsid w:val="00B6559B"/>
    <w:rsid w:val="00B66907"/>
    <w:rsid w:val="00B678CD"/>
    <w:rsid w:val="00B67DB1"/>
    <w:rsid w:val="00B67DE9"/>
    <w:rsid w:val="00B76388"/>
    <w:rsid w:val="00B77A88"/>
    <w:rsid w:val="00B81AE3"/>
    <w:rsid w:val="00B823D7"/>
    <w:rsid w:val="00B845ED"/>
    <w:rsid w:val="00B8580D"/>
    <w:rsid w:val="00B85BB3"/>
    <w:rsid w:val="00B86032"/>
    <w:rsid w:val="00B8711F"/>
    <w:rsid w:val="00B87A4C"/>
    <w:rsid w:val="00B91350"/>
    <w:rsid w:val="00B91FC4"/>
    <w:rsid w:val="00B93314"/>
    <w:rsid w:val="00B95FBC"/>
    <w:rsid w:val="00B9791C"/>
    <w:rsid w:val="00BA000D"/>
    <w:rsid w:val="00BA1306"/>
    <w:rsid w:val="00BA2524"/>
    <w:rsid w:val="00BA345C"/>
    <w:rsid w:val="00BA56AD"/>
    <w:rsid w:val="00BA6046"/>
    <w:rsid w:val="00BA6C7D"/>
    <w:rsid w:val="00BA788C"/>
    <w:rsid w:val="00BA7F0C"/>
    <w:rsid w:val="00BB054F"/>
    <w:rsid w:val="00BB0D87"/>
    <w:rsid w:val="00BB2805"/>
    <w:rsid w:val="00BB29AF"/>
    <w:rsid w:val="00BB3087"/>
    <w:rsid w:val="00BB4BE7"/>
    <w:rsid w:val="00BB4CD5"/>
    <w:rsid w:val="00BB57FA"/>
    <w:rsid w:val="00BB7F9B"/>
    <w:rsid w:val="00BC0E68"/>
    <w:rsid w:val="00BC0FDD"/>
    <w:rsid w:val="00BC105C"/>
    <w:rsid w:val="00BC1D5B"/>
    <w:rsid w:val="00BC36E7"/>
    <w:rsid w:val="00BC5374"/>
    <w:rsid w:val="00BC6D94"/>
    <w:rsid w:val="00BC702D"/>
    <w:rsid w:val="00BD02D6"/>
    <w:rsid w:val="00BD09E3"/>
    <w:rsid w:val="00BD13FE"/>
    <w:rsid w:val="00BD26C9"/>
    <w:rsid w:val="00BD31A0"/>
    <w:rsid w:val="00BD4F82"/>
    <w:rsid w:val="00BD5642"/>
    <w:rsid w:val="00BE2F4E"/>
    <w:rsid w:val="00BE3341"/>
    <w:rsid w:val="00BE39D9"/>
    <w:rsid w:val="00BE404F"/>
    <w:rsid w:val="00BE7CFB"/>
    <w:rsid w:val="00BF3244"/>
    <w:rsid w:val="00BF3B3F"/>
    <w:rsid w:val="00BF3CE6"/>
    <w:rsid w:val="00BF48A4"/>
    <w:rsid w:val="00BF65FD"/>
    <w:rsid w:val="00BF724B"/>
    <w:rsid w:val="00BF765C"/>
    <w:rsid w:val="00BF7B35"/>
    <w:rsid w:val="00C0071B"/>
    <w:rsid w:val="00C012A1"/>
    <w:rsid w:val="00C01B62"/>
    <w:rsid w:val="00C01CFB"/>
    <w:rsid w:val="00C022C1"/>
    <w:rsid w:val="00C03715"/>
    <w:rsid w:val="00C057EC"/>
    <w:rsid w:val="00C05AF8"/>
    <w:rsid w:val="00C06139"/>
    <w:rsid w:val="00C07AB5"/>
    <w:rsid w:val="00C07FB4"/>
    <w:rsid w:val="00C1003D"/>
    <w:rsid w:val="00C12175"/>
    <w:rsid w:val="00C123D4"/>
    <w:rsid w:val="00C137E9"/>
    <w:rsid w:val="00C13A6C"/>
    <w:rsid w:val="00C1559A"/>
    <w:rsid w:val="00C16D6E"/>
    <w:rsid w:val="00C1730B"/>
    <w:rsid w:val="00C17A41"/>
    <w:rsid w:val="00C17E54"/>
    <w:rsid w:val="00C2007C"/>
    <w:rsid w:val="00C20BAF"/>
    <w:rsid w:val="00C21703"/>
    <w:rsid w:val="00C2291A"/>
    <w:rsid w:val="00C229B9"/>
    <w:rsid w:val="00C229DE"/>
    <w:rsid w:val="00C229ED"/>
    <w:rsid w:val="00C243DE"/>
    <w:rsid w:val="00C252A0"/>
    <w:rsid w:val="00C253AA"/>
    <w:rsid w:val="00C25A41"/>
    <w:rsid w:val="00C274BE"/>
    <w:rsid w:val="00C306B6"/>
    <w:rsid w:val="00C31BDF"/>
    <w:rsid w:val="00C3335B"/>
    <w:rsid w:val="00C33439"/>
    <w:rsid w:val="00C3361F"/>
    <w:rsid w:val="00C356AE"/>
    <w:rsid w:val="00C35A17"/>
    <w:rsid w:val="00C35B44"/>
    <w:rsid w:val="00C365F6"/>
    <w:rsid w:val="00C37223"/>
    <w:rsid w:val="00C37F79"/>
    <w:rsid w:val="00C40327"/>
    <w:rsid w:val="00C427B5"/>
    <w:rsid w:val="00C43307"/>
    <w:rsid w:val="00C43A41"/>
    <w:rsid w:val="00C44AFB"/>
    <w:rsid w:val="00C45B6A"/>
    <w:rsid w:val="00C462A2"/>
    <w:rsid w:val="00C4699F"/>
    <w:rsid w:val="00C46A3A"/>
    <w:rsid w:val="00C47851"/>
    <w:rsid w:val="00C507C1"/>
    <w:rsid w:val="00C51ED5"/>
    <w:rsid w:val="00C520CA"/>
    <w:rsid w:val="00C55F57"/>
    <w:rsid w:val="00C5795F"/>
    <w:rsid w:val="00C57DB6"/>
    <w:rsid w:val="00C60603"/>
    <w:rsid w:val="00C60DC3"/>
    <w:rsid w:val="00C61CF6"/>
    <w:rsid w:val="00C62A55"/>
    <w:rsid w:val="00C712BA"/>
    <w:rsid w:val="00C72D08"/>
    <w:rsid w:val="00C734D2"/>
    <w:rsid w:val="00C749E0"/>
    <w:rsid w:val="00C755D1"/>
    <w:rsid w:val="00C75B56"/>
    <w:rsid w:val="00C7734D"/>
    <w:rsid w:val="00C8098B"/>
    <w:rsid w:val="00C80C85"/>
    <w:rsid w:val="00C80DE9"/>
    <w:rsid w:val="00C82B8C"/>
    <w:rsid w:val="00C858C0"/>
    <w:rsid w:val="00C86800"/>
    <w:rsid w:val="00C86E27"/>
    <w:rsid w:val="00C90845"/>
    <w:rsid w:val="00C914CB"/>
    <w:rsid w:val="00C91F09"/>
    <w:rsid w:val="00C9304D"/>
    <w:rsid w:val="00C93530"/>
    <w:rsid w:val="00C97332"/>
    <w:rsid w:val="00CA04C1"/>
    <w:rsid w:val="00CA07A7"/>
    <w:rsid w:val="00CA0A89"/>
    <w:rsid w:val="00CA0E87"/>
    <w:rsid w:val="00CA12B5"/>
    <w:rsid w:val="00CA16F9"/>
    <w:rsid w:val="00CA3A8F"/>
    <w:rsid w:val="00CA4972"/>
    <w:rsid w:val="00CB0105"/>
    <w:rsid w:val="00CB094F"/>
    <w:rsid w:val="00CB212F"/>
    <w:rsid w:val="00CB361F"/>
    <w:rsid w:val="00CB65BF"/>
    <w:rsid w:val="00CB7649"/>
    <w:rsid w:val="00CB7D06"/>
    <w:rsid w:val="00CC0881"/>
    <w:rsid w:val="00CC08DF"/>
    <w:rsid w:val="00CC0CF3"/>
    <w:rsid w:val="00CC124E"/>
    <w:rsid w:val="00CC353F"/>
    <w:rsid w:val="00CC4CAB"/>
    <w:rsid w:val="00CC6110"/>
    <w:rsid w:val="00CC64F0"/>
    <w:rsid w:val="00CC6E8B"/>
    <w:rsid w:val="00CC6FA4"/>
    <w:rsid w:val="00CC7311"/>
    <w:rsid w:val="00CD23FA"/>
    <w:rsid w:val="00CD333E"/>
    <w:rsid w:val="00CD428F"/>
    <w:rsid w:val="00CD4906"/>
    <w:rsid w:val="00CE35E7"/>
    <w:rsid w:val="00CE545F"/>
    <w:rsid w:val="00CE56AF"/>
    <w:rsid w:val="00CE6FC6"/>
    <w:rsid w:val="00CE7566"/>
    <w:rsid w:val="00CF04D3"/>
    <w:rsid w:val="00CF1A8A"/>
    <w:rsid w:val="00CF300E"/>
    <w:rsid w:val="00CF31D4"/>
    <w:rsid w:val="00CF3CD6"/>
    <w:rsid w:val="00CF4BA5"/>
    <w:rsid w:val="00CF5F7B"/>
    <w:rsid w:val="00CF61D5"/>
    <w:rsid w:val="00D008D0"/>
    <w:rsid w:val="00D01509"/>
    <w:rsid w:val="00D02019"/>
    <w:rsid w:val="00D04293"/>
    <w:rsid w:val="00D04C1B"/>
    <w:rsid w:val="00D05BE7"/>
    <w:rsid w:val="00D06670"/>
    <w:rsid w:val="00D1210F"/>
    <w:rsid w:val="00D14080"/>
    <w:rsid w:val="00D17A6C"/>
    <w:rsid w:val="00D17C59"/>
    <w:rsid w:val="00D2077A"/>
    <w:rsid w:val="00D228C6"/>
    <w:rsid w:val="00D2444D"/>
    <w:rsid w:val="00D24CAD"/>
    <w:rsid w:val="00D25170"/>
    <w:rsid w:val="00D27172"/>
    <w:rsid w:val="00D3155C"/>
    <w:rsid w:val="00D34F88"/>
    <w:rsid w:val="00D350EE"/>
    <w:rsid w:val="00D369A2"/>
    <w:rsid w:val="00D37C59"/>
    <w:rsid w:val="00D422AB"/>
    <w:rsid w:val="00D42C94"/>
    <w:rsid w:val="00D453B4"/>
    <w:rsid w:val="00D453CC"/>
    <w:rsid w:val="00D45B99"/>
    <w:rsid w:val="00D45FFC"/>
    <w:rsid w:val="00D46EF1"/>
    <w:rsid w:val="00D47D60"/>
    <w:rsid w:val="00D47ED7"/>
    <w:rsid w:val="00D50693"/>
    <w:rsid w:val="00D506F1"/>
    <w:rsid w:val="00D52F74"/>
    <w:rsid w:val="00D5350E"/>
    <w:rsid w:val="00D53F2F"/>
    <w:rsid w:val="00D54D40"/>
    <w:rsid w:val="00D572AA"/>
    <w:rsid w:val="00D60321"/>
    <w:rsid w:val="00D60717"/>
    <w:rsid w:val="00D60C70"/>
    <w:rsid w:val="00D61751"/>
    <w:rsid w:val="00D639C4"/>
    <w:rsid w:val="00D65457"/>
    <w:rsid w:val="00D6645B"/>
    <w:rsid w:val="00D675E5"/>
    <w:rsid w:val="00D67934"/>
    <w:rsid w:val="00D70CD7"/>
    <w:rsid w:val="00D70FD2"/>
    <w:rsid w:val="00D71418"/>
    <w:rsid w:val="00D737D7"/>
    <w:rsid w:val="00D7432A"/>
    <w:rsid w:val="00D77874"/>
    <w:rsid w:val="00D82194"/>
    <w:rsid w:val="00D852FF"/>
    <w:rsid w:val="00D86754"/>
    <w:rsid w:val="00D8677C"/>
    <w:rsid w:val="00D86A03"/>
    <w:rsid w:val="00D913F1"/>
    <w:rsid w:val="00D91790"/>
    <w:rsid w:val="00D9315D"/>
    <w:rsid w:val="00D93190"/>
    <w:rsid w:val="00D93307"/>
    <w:rsid w:val="00D94007"/>
    <w:rsid w:val="00D9412C"/>
    <w:rsid w:val="00D9440F"/>
    <w:rsid w:val="00D9551E"/>
    <w:rsid w:val="00D97876"/>
    <w:rsid w:val="00D97C7C"/>
    <w:rsid w:val="00DA077E"/>
    <w:rsid w:val="00DA2819"/>
    <w:rsid w:val="00DA2946"/>
    <w:rsid w:val="00DA2EBE"/>
    <w:rsid w:val="00DA41F3"/>
    <w:rsid w:val="00DA4A45"/>
    <w:rsid w:val="00DB01E2"/>
    <w:rsid w:val="00DB2935"/>
    <w:rsid w:val="00DB6418"/>
    <w:rsid w:val="00DC0053"/>
    <w:rsid w:val="00DC01C3"/>
    <w:rsid w:val="00DC1866"/>
    <w:rsid w:val="00DC1BA4"/>
    <w:rsid w:val="00DC2075"/>
    <w:rsid w:val="00DC25FE"/>
    <w:rsid w:val="00DC2BB9"/>
    <w:rsid w:val="00DC2D95"/>
    <w:rsid w:val="00DC5C0C"/>
    <w:rsid w:val="00DC5DC4"/>
    <w:rsid w:val="00DC659E"/>
    <w:rsid w:val="00DC6C35"/>
    <w:rsid w:val="00DD0701"/>
    <w:rsid w:val="00DD2439"/>
    <w:rsid w:val="00DD30EB"/>
    <w:rsid w:val="00DE0F30"/>
    <w:rsid w:val="00DE3B62"/>
    <w:rsid w:val="00DE53C2"/>
    <w:rsid w:val="00DF000E"/>
    <w:rsid w:val="00DF0EDA"/>
    <w:rsid w:val="00DF13EE"/>
    <w:rsid w:val="00DF2A03"/>
    <w:rsid w:val="00E004A5"/>
    <w:rsid w:val="00E01616"/>
    <w:rsid w:val="00E0207F"/>
    <w:rsid w:val="00E02753"/>
    <w:rsid w:val="00E034F4"/>
    <w:rsid w:val="00E05CBF"/>
    <w:rsid w:val="00E06860"/>
    <w:rsid w:val="00E072CF"/>
    <w:rsid w:val="00E07E5A"/>
    <w:rsid w:val="00E1033C"/>
    <w:rsid w:val="00E1054F"/>
    <w:rsid w:val="00E12EB3"/>
    <w:rsid w:val="00E145D4"/>
    <w:rsid w:val="00E148D6"/>
    <w:rsid w:val="00E1497C"/>
    <w:rsid w:val="00E1506E"/>
    <w:rsid w:val="00E15635"/>
    <w:rsid w:val="00E16037"/>
    <w:rsid w:val="00E178F0"/>
    <w:rsid w:val="00E17EC3"/>
    <w:rsid w:val="00E20A33"/>
    <w:rsid w:val="00E2129D"/>
    <w:rsid w:val="00E2216E"/>
    <w:rsid w:val="00E25629"/>
    <w:rsid w:val="00E25B28"/>
    <w:rsid w:val="00E25B3F"/>
    <w:rsid w:val="00E2607A"/>
    <w:rsid w:val="00E26D1C"/>
    <w:rsid w:val="00E27403"/>
    <w:rsid w:val="00E30EED"/>
    <w:rsid w:val="00E3418E"/>
    <w:rsid w:val="00E35C04"/>
    <w:rsid w:val="00E37202"/>
    <w:rsid w:val="00E37B8A"/>
    <w:rsid w:val="00E41796"/>
    <w:rsid w:val="00E429F0"/>
    <w:rsid w:val="00E43FAE"/>
    <w:rsid w:val="00E4475A"/>
    <w:rsid w:val="00E46502"/>
    <w:rsid w:val="00E50C56"/>
    <w:rsid w:val="00E51F90"/>
    <w:rsid w:val="00E54069"/>
    <w:rsid w:val="00E55FC2"/>
    <w:rsid w:val="00E5686E"/>
    <w:rsid w:val="00E5722C"/>
    <w:rsid w:val="00E57B50"/>
    <w:rsid w:val="00E62571"/>
    <w:rsid w:val="00E63F44"/>
    <w:rsid w:val="00E65C36"/>
    <w:rsid w:val="00E65D54"/>
    <w:rsid w:val="00E65E50"/>
    <w:rsid w:val="00E6739F"/>
    <w:rsid w:val="00E676C4"/>
    <w:rsid w:val="00E67DAF"/>
    <w:rsid w:val="00E70FB3"/>
    <w:rsid w:val="00E71AE1"/>
    <w:rsid w:val="00E73FFC"/>
    <w:rsid w:val="00E74416"/>
    <w:rsid w:val="00E7741F"/>
    <w:rsid w:val="00E77CD4"/>
    <w:rsid w:val="00E80A25"/>
    <w:rsid w:val="00E80C7D"/>
    <w:rsid w:val="00E8318F"/>
    <w:rsid w:val="00E83224"/>
    <w:rsid w:val="00E84145"/>
    <w:rsid w:val="00E84364"/>
    <w:rsid w:val="00E856ED"/>
    <w:rsid w:val="00E85BDD"/>
    <w:rsid w:val="00E86468"/>
    <w:rsid w:val="00E876B4"/>
    <w:rsid w:val="00E878C2"/>
    <w:rsid w:val="00E87BCA"/>
    <w:rsid w:val="00E9091E"/>
    <w:rsid w:val="00E92BE4"/>
    <w:rsid w:val="00E9359C"/>
    <w:rsid w:val="00E94672"/>
    <w:rsid w:val="00E94D61"/>
    <w:rsid w:val="00E9647C"/>
    <w:rsid w:val="00E9691B"/>
    <w:rsid w:val="00E97164"/>
    <w:rsid w:val="00EA0D88"/>
    <w:rsid w:val="00EA124E"/>
    <w:rsid w:val="00EA2E0E"/>
    <w:rsid w:val="00EA4016"/>
    <w:rsid w:val="00EA426F"/>
    <w:rsid w:val="00EA44D5"/>
    <w:rsid w:val="00EA6748"/>
    <w:rsid w:val="00EA7B00"/>
    <w:rsid w:val="00EB08E6"/>
    <w:rsid w:val="00EB09D8"/>
    <w:rsid w:val="00EB17DA"/>
    <w:rsid w:val="00EB29AC"/>
    <w:rsid w:val="00EB2FA0"/>
    <w:rsid w:val="00EB3B86"/>
    <w:rsid w:val="00EB4316"/>
    <w:rsid w:val="00EB43EF"/>
    <w:rsid w:val="00EB6353"/>
    <w:rsid w:val="00EB6697"/>
    <w:rsid w:val="00EC3AAD"/>
    <w:rsid w:val="00EC6058"/>
    <w:rsid w:val="00EC7BBE"/>
    <w:rsid w:val="00ED0B24"/>
    <w:rsid w:val="00ED1148"/>
    <w:rsid w:val="00ED3CE3"/>
    <w:rsid w:val="00ED4551"/>
    <w:rsid w:val="00ED6281"/>
    <w:rsid w:val="00ED6C00"/>
    <w:rsid w:val="00ED71AC"/>
    <w:rsid w:val="00ED760A"/>
    <w:rsid w:val="00ED7627"/>
    <w:rsid w:val="00EE3218"/>
    <w:rsid w:val="00EE489D"/>
    <w:rsid w:val="00EE5464"/>
    <w:rsid w:val="00EE5C25"/>
    <w:rsid w:val="00EE5C79"/>
    <w:rsid w:val="00EE7016"/>
    <w:rsid w:val="00EF0075"/>
    <w:rsid w:val="00EF0AEF"/>
    <w:rsid w:val="00EF0E50"/>
    <w:rsid w:val="00EF217F"/>
    <w:rsid w:val="00EF25FE"/>
    <w:rsid w:val="00EF2B78"/>
    <w:rsid w:val="00EF3837"/>
    <w:rsid w:val="00EF439A"/>
    <w:rsid w:val="00EF5E68"/>
    <w:rsid w:val="00EF6ABB"/>
    <w:rsid w:val="00F001B6"/>
    <w:rsid w:val="00F0335A"/>
    <w:rsid w:val="00F03EF5"/>
    <w:rsid w:val="00F048ED"/>
    <w:rsid w:val="00F05836"/>
    <w:rsid w:val="00F0731A"/>
    <w:rsid w:val="00F10126"/>
    <w:rsid w:val="00F125D3"/>
    <w:rsid w:val="00F127B8"/>
    <w:rsid w:val="00F129F1"/>
    <w:rsid w:val="00F14041"/>
    <w:rsid w:val="00F14455"/>
    <w:rsid w:val="00F1617C"/>
    <w:rsid w:val="00F16B95"/>
    <w:rsid w:val="00F1787F"/>
    <w:rsid w:val="00F17CF8"/>
    <w:rsid w:val="00F23EB7"/>
    <w:rsid w:val="00F24CF8"/>
    <w:rsid w:val="00F255AE"/>
    <w:rsid w:val="00F255DF"/>
    <w:rsid w:val="00F31D74"/>
    <w:rsid w:val="00F3258F"/>
    <w:rsid w:val="00F328FF"/>
    <w:rsid w:val="00F335A8"/>
    <w:rsid w:val="00F33C8C"/>
    <w:rsid w:val="00F34E73"/>
    <w:rsid w:val="00F35A30"/>
    <w:rsid w:val="00F410B6"/>
    <w:rsid w:val="00F412FA"/>
    <w:rsid w:val="00F415F2"/>
    <w:rsid w:val="00F440DB"/>
    <w:rsid w:val="00F4414B"/>
    <w:rsid w:val="00F455E3"/>
    <w:rsid w:val="00F462EE"/>
    <w:rsid w:val="00F47BE1"/>
    <w:rsid w:val="00F501B4"/>
    <w:rsid w:val="00F50360"/>
    <w:rsid w:val="00F518FC"/>
    <w:rsid w:val="00F5212F"/>
    <w:rsid w:val="00F52167"/>
    <w:rsid w:val="00F54B14"/>
    <w:rsid w:val="00F5754A"/>
    <w:rsid w:val="00F57AAF"/>
    <w:rsid w:val="00F60851"/>
    <w:rsid w:val="00F62503"/>
    <w:rsid w:val="00F630F4"/>
    <w:rsid w:val="00F642E7"/>
    <w:rsid w:val="00F65D01"/>
    <w:rsid w:val="00F70A81"/>
    <w:rsid w:val="00F74336"/>
    <w:rsid w:val="00F745ED"/>
    <w:rsid w:val="00F751D2"/>
    <w:rsid w:val="00F755F1"/>
    <w:rsid w:val="00F75DD0"/>
    <w:rsid w:val="00F80499"/>
    <w:rsid w:val="00F81BD6"/>
    <w:rsid w:val="00F82ADC"/>
    <w:rsid w:val="00F85FDE"/>
    <w:rsid w:val="00F877E5"/>
    <w:rsid w:val="00F90319"/>
    <w:rsid w:val="00F90FD9"/>
    <w:rsid w:val="00F915C3"/>
    <w:rsid w:val="00F9160C"/>
    <w:rsid w:val="00FA020B"/>
    <w:rsid w:val="00FA09E6"/>
    <w:rsid w:val="00FA200B"/>
    <w:rsid w:val="00FA2C83"/>
    <w:rsid w:val="00FA427D"/>
    <w:rsid w:val="00FA5429"/>
    <w:rsid w:val="00FA674C"/>
    <w:rsid w:val="00FA6F71"/>
    <w:rsid w:val="00FA77E1"/>
    <w:rsid w:val="00FB00FD"/>
    <w:rsid w:val="00FB1AC9"/>
    <w:rsid w:val="00FB2E05"/>
    <w:rsid w:val="00FB430A"/>
    <w:rsid w:val="00FB5589"/>
    <w:rsid w:val="00FB7C46"/>
    <w:rsid w:val="00FC14A6"/>
    <w:rsid w:val="00FC1A8C"/>
    <w:rsid w:val="00FC28F8"/>
    <w:rsid w:val="00FC3B8A"/>
    <w:rsid w:val="00FC3DB4"/>
    <w:rsid w:val="00FC7A35"/>
    <w:rsid w:val="00FD0237"/>
    <w:rsid w:val="00FD02A2"/>
    <w:rsid w:val="00FD0865"/>
    <w:rsid w:val="00FD0C0E"/>
    <w:rsid w:val="00FD10FD"/>
    <w:rsid w:val="00FD1909"/>
    <w:rsid w:val="00FD1F4E"/>
    <w:rsid w:val="00FD223E"/>
    <w:rsid w:val="00FD2506"/>
    <w:rsid w:val="00FD2942"/>
    <w:rsid w:val="00FD2DBF"/>
    <w:rsid w:val="00FE00FD"/>
    <w:rsid w:val="00FE1228"/>
    <w:rsid w:val="00FE16E8"/>
    <w:rsid w:val="00FE2905"/>
    <w:rsid w:val="00FE2DB4"/>
    <w:rsid w:val="00FE3519"/>
    <w:rsid w:val="00FE44C6"/>
    <w:rsid w:val="00FE4DD1"/>
    <w:rsid w:val="00FE574B"/>
    <w:rsid w:val="00FF082E"/>
    <w:rsid w:val="00FF5311"/>
    <w:rsid w:val="00FF5B78"/>
    <w:rsid w:val="00FF63E6"/>
    <w:rsid w:val="0130B23C"/>
    <w:rsid w:val="7903AF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F1DE2"/>
  <w15:chartTrackingRefBased/>
  <w15:docId w15:val="{6193259C-1717-456B-AE16-909025B34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5BF"/>
    <w:pPr>
      <w:spacing w:before="240" w:line="288" w:lineRule="auto"/>
    </w:pPr>
  </w:style>
  <w:style w:type="paragraph" w:styleId="Heading1">
    <w:name w:val="heading 1"/>
    <w:basedOn w:val="Normal"/>
    <w:next w:val="Normal"/>
    <w:link w:val="Heading1Char"/>
    <w:autoRedefine/>
    <w:uiPriority w:val="9"/>
    <w:qFormat/>
    <w:rsid w:val="00397198"/>
    <w:pPr>
      <w:keepNext/>
      <w:keepLines/>
      <w:pBdr>
        <w:bottom w:val="single" w:sz="4" w:space="1" w:color="006CA9" w:themeColor="accent1"/>
      </w:pBdr>
      <w:spacing w:before="400" w:after="400" w:line="240" w:lineRule="auto"/>
      <w:outlineLvl w:val="0"/>
    </w:pPr>
    <w:rPr>
      <w:rFonts w:asciiTheme="majorHAnsi" w:eastAsiaTheme="majorEastAsia" w:hAnsiTheme="majorHAnsi" w:cstheme="majorBidi"/>
      <w:b/>
      <w:color w:val="00325D" w:themeColor="text2"/>
      <w:sz w:val="40"/>
      <w:szCs w:val="36"/>
    </w:rPr>
  </w:style>
  <w:style w:type="paragraph" w:styleId="Heading2">
    <w:name w:val="heading 2"/>
    <w:basedOn w:val="Normal"/>
    <w:next w:val="Normal"/>
    <w:link w:val="Heading2Char"/>
    <w:autoRedefine/>
    <w:unhideWhenUsed/>
    <w:qFormat/>
    <w:rsid w:val="00DC2BB9"/>
    <w:pPr>
      <w:keepNext/>
      <w:keepLines/>
      <w:spacing w:before="360" w:line="240" w:lineRule="auto"/>
      <w:jc w:val="center"/>
      <w:outlineLvl w:val="1"/>
    </w:pPr>
    <w:rPr>
      <w:rFonts w:asciiTheme="majorHAnsi" w:eastAsiaTheme="majorEastAsia" w:hAnsiTheme="majorHAnsi" w:cstheme="majorBidi"/>
      <w:b/>
      <w:sz w:val="34"/>
      <w:szCs w:val="28"/>
    </w:rPr>
  </w:style>
  <w:style w:type="paragraph" w:styleId="Heading3">
    <w:name w:val="heading 3"/>
    <w:basedOn w:val="Normal"/>
    <w:next w:val="Normal"/>
    <w:link w:val="Heading3Char"/>
    <w:autoRedefine/>
    <w:uiPriority w:val="9"/>
    <w:unhideWhenUsed/>
    <w:qFormat/>
    <w:rsid w:val="00F501B4"/>
    <w:pPr>
      <w:keepNext/>
      <w:keepLines/>
      <w:spacing w:before="360" w:line="240" w:lineRule="auto"/>
      <w:outlineLvl w:val="2"/>
    </w:pPr>
    <w:rPr>
      <w:rFonts w:asciiTheme="majorHAnsi" w:eastAsiaTheme="majorEastAsia" w:hAnsiTheme="majorHAnsi" w:cstheme="majorBidi"/>
      <w:i/>
      <w:iCs/>
      <w:color w:val="006CA9" w:themeColor="accent1"/>
      <w:sz w:val="24"/>
      <w:szCs w:val="24"/>
    </w:rPr>
  </w:style>
  <w:style w:type="paragraph" w:styleId="Heading4">
    <w:name w:val="heading 4"/>
    <w:basedOn w:val="Normal"/>
    <w:next w:val="Normal"/>
    <w:link w:val="Heading4Char"/>
    <w:autoRedefine/>
    <w:uiPriority w:val="9"/>
    <w:unhideWhenUsed/>
    <w:qFormat/>
    <w:rsid w:val="00C33439"/>
    <w:pPr>
      <w:keepNext/>
      <w:keepLines/>
      <w:spacing w:before="360" w:after="0"/>
      <w:outlineLvl w:val="3"/>
    </w:pPr>
    <w:rPr>
      <w:rFonts w:asciiTheme="majorHAnsi" w:eastAsiaTheme="majorEastAsia" w:hAnsiTheme="majorHAnsi" w:cstheme="majorBidi"/>
      <w:b/>
      <w:iCs/>
      <w:sz w:val="22"/>
      <w:szCs w:val="24"/>
    </w:rPr>
  </w:style>
  <w:style w:type="paragraph" w:styleId="Heading5">
    <w:name w:val="heading 5"/>
    <w:basedOn w:val="Normal"/>
    <w:next w:val="Normal"/>
    <w:link w:val="Heading5Char"/>
    <w:uiPriority w:val="9"/>
    <w:semiHidden/>
    <w:unhideWhenUsed/>
    <w:qFormat/>
    <w:rsid w:val="0052288C"/>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52288C"/>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52288C"/>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52288C"/>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52288C"/>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198"/>
    <w:rPr>
      <w:rFonts w:asciiTheme="majorHAnsi" w:eastAsiaTheme="majorEastAsia" w:hAnsiTheme="majorHAnsi" w:cstheme="majorBidi"/>
      <w:b/>
      <w:color w:val="00325D" w:themeColor="text2"/>
      <w:sz w:val="40"/>
      <w:szCs w:val="36"/>
    </w:rPr>
  </w:style>
  <w:style w:type="character" w:customStyle="1" w:styleId="Heading2Char">
    <w:name w:val="Heading 2 Char"/>
    <w:basedOn w:val="DefaultParagraphFont"/>
    <w:link w:val="Heading2"/>
    <w:rsid w:val="00DC2BB9"/>
    <w:rPr>
      <w:rFonts w:asciiTheme="majorHAnsi" w:eastAsiaTheme="majorEastAsia" w:hAnsiTheme="majorHAnsi" w:cstheme="majorBidi"/>
      <w:b/>
      <w:sz w:val="34"/>
      <w:szCs w:val="28"/>
    </w:rPr>
  </w:style>
  <w:style w:type="character" w:customStyle="1" w:styleId="Heading3Char">
    <w:name w:val="Heading 3 Char"/>
    <w:basedOn w:val="DefaultParagraphFont"/>
    <w:link w:val="Heading3"/>
    <w:uiPriority w:val="9"/>
    <w:rsid w:val="00F501B4"/>
    <w:rPr>
      <w:rFonts w:asciiTheme="majorHAnsi" w:eastAsiaTheme="majorEastAsia" w:hAnsiTheme="majorHAnsi" w:cstheme="majorBidi"/>
      <w:i/>
      <w:iCs/>
      <w:color w:val="006CA9" w:themeColor="accent1"/>
      <w:sz w:val="24"/>
      <w:szCs w:val="24"/>
    </w:rPr>
  </w:style>
  <w:style w:type="character" w:customStyle="1" w:styleId="Heading4Char">
    <w:name w:val="Heading 4 Char"/>
    <w:basedOn w:val="DefaultParagraphFont"/>
    <w:link w:val="Heading4"/>
    <w:uiPriority w:val="9"/>
    <w:rsid w:val="0052288C"/>
    <w:rPr>
      <w:rFonts w:asciiTheme="majorHAnsi" w:eastAsiaTheme="majorEastAsia" w:hAnsiTheme="majorHAnsi" w:cstheme="majorBidi"/>
      <w:b/>
      <w:iCs/>
      <w:sz w:val="22"/>
      <w:szCs w:val="24"/>
    </w:rPr>
  </w:style>
  <w:style w:type="character" w:customStyle="1" w:styleId="Heading5Char">
    <w:name w:val="Heading 5 Char"/>
    <w:basedOn w:val="DefaultParagraphFont"/>
    <w:link w:val="Heading5"/>
    <w:uiPriority w:val="9"/>
    <w:semiHidden/>
    <w:rsid w:val="0052288C"/>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52288C"/>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52288C"/>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52288C"/>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52288C"/>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52288C"/>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89507C"/>
    <w:pPr>
      <w:spacing w:line="264" w:lineRule="auto"/>
      <w:contextualSpacing/>
    </w:pPr>
    <w:rPr>
      <w:rFonts w:asciiTheme="majorHAnsi" w:eastAsiaTheme="majorEastAsia" w:hAnsiTheme="majorHAnsi" w:cstheme="majorBidi"/>
      <w:b/>
      <w:spacing w:val="-7"/>
      <w:sz w:val="80"/>
      <w:szCs w:val="80"/>
    </w:rPr>
  </w:style>
  <w:style w:type="character" w:customStyle="1" w:styleId="TitleChar">
    <w:name w:val="Title Char"/>
    <w:basedOn w:val="DefaultParagraphFont"/>
    <w:link w:val="Title"/>
    <w:uiPriority w:val="10"/>
    <w:rsid w:val="0089507C"/>
    <w:rPr>
      <w:rFonts w:asciiTheme="majorHAnsi" w:eastAsiaTheme="majorEastAsia" w:hAnsiTheme="majorHAnsi" w:cstheme="majorBidi"/>
      <w:b/>
      <w:spacing w:val="-7"/>
      <w:sz w:val="80"/>
      <w:szCs w:val="80"/>
    </w:rPr>
  </w:style>
  <w:style w:type="paragraph" w:styleId="Subtitle">
    <w:name w:val="Subtitle"/>
    <w:basedOn w:val="Normal"/>
    <w:next w:val="Normal"/>
    <w:link w:val="SubtitleChar"/>
    <w:autoRedefine/>
    <w:uiPriority w:val="11"/>
    <w:qFormat/>
    <w:rsid w:val="005D3D05"/>
    <w:pPr>
      <w:numPr>
        <w:ilvl w:val="1"/>
      </w:numPr>
      <w:spacing w:after="240" w:line="264" w:lineRule="auto"/>
    </w:pPr>
    <w:rPr>
      <w:rFonts w:asciiTheme="majorHAnsi" w:eastAsiaTheme="majorEastAsia" w:hAnsiTheme="majorHAnsi" w:cstheme="majorBidi"/>
      <w:i/>
      <w:color w:val="006CA9" w:themeColor="accent1"/>
      <w:sz w:val="30"/>
      <w:szCs w:val="30"/>
    </w:rPr>
  </w:style>
  <w:style w:type="character" w:customStyle="1" w:styleId="SubtitleChar">
    <w:name w:val="Subtitle Char"/>
    <w:basedOn w:val="DefaultParagraphFont"/>
    <w:link w:val="Subtitle"/>
    <w:uiPriority w:val="11"/>
    <w:rsid w:val="0052288C"/>
    <w:rPr>
      <w:rFonts w:asciiTheme="majorHAnsi" w:eastAsiaTheme="majorEastAsia" w:hAnsiTheme="majorHAnsi" w:cstheme="majorBidi"/>
      <w:i/>
      <w:color w:val="006CA9" w:themeColor="accent1"/>
      <w:sz w:val="30"/>
      <w:szCs w:val="30"/>
    </w:rPr>
  </w:style>
  <w:style w:type="character" w:styleId="Strong">
    <w:name w:val="Strong"/>
    <w:basedOn w:val="DefaultParagraphFont"/>
    <w:uiPriority w:val="22"/>
    <w:qFormat/>
    <w:rsid w:val="0052288C"/>
    <w:rPr>
      <w:b/>
      <w:bCs/>
    </w:rPr>
  </w:style>
  <w:style w:type="character" w:styleId="Emphasis">
    <w:name w:val="Emphasis"/>
    <w:basedOn w:val="DefaultParagraphFont"/>
    <w:uiPriority w:val="20"/>
    <w:qFormat/>
    <w:rsid w:val="0052288C"/>
    <w:rPr>
      <w:i/>
      <w:iCs/>
    </w:rPr>
  </w:style>
  <w:style w:type="paragraph" w:styleId="NoSpacing">
    <w:name w:val="No Spacing"/>
    <w:uiPriority w:val="1"/>
    <w:qFormat/>
    <w:rsid w:val="0052288C"/>
    <w:pPr>
      <w:spacing w:after="0" w:line="240" w:lineRule="auto"/>
    </w:pPr>
  </w:style>
  <w:style w:type="paragraph" w:styleId="Quote">
    <w:name w:val="Quote"/>
    <w:basedOn w:val="Normal"/>
    <w:next w:val="Normal"/>
    <w:link w:val="QuoteChar"/>
    <w:uiPriority w:val="29"/>
    <w:qFormat/>
    <w:rsid w:val="0052288C"/>
    <w:pPr>
      <w:spacing w:after="240" w:line="252" w:lineRule="auto"/>
      <w:ind w:left="864" w:right="864"/>
      <w:jc w:val="center"/>
    </w:pPr>
    <w:rPr>
      <w:i/>
      <w:iCs/>
    </w:rPr>
  </w:style>
  <w:style w:type="character" w:customStyle="1" w:styleId="QuoteChar">
    <w:name w:val="Quote Char"/>
    <w:basedOn w:val="DefaultParagraphFont"/>
    <w:link w:val="Quote"/>
    <w:uiPriority w:val="29"/>
    <w:rsid w:val="0052288C"/>
    <w:rPr>
      <w:i/>
      <w:iCs/>
    </w:rPr>
  </w:style>
  <w:style w:type="paragraph" w:styleId="IntenseQuote">
    <w:name w:val="Intense Quote"/>
    <w:basedOn w:val="Normal"/>
    <w:next w:val="Normal"/>
    <w:link w:val="IntenseQuoteChar"/>
    <w:uiPriority w:val="30"/>
    <w:qFormat/>
    <w:rsid w:val="0052288C"/>
    <w:pPr>
      <w:spacing w:before="100" w:beforeAutospacing="1" w:after="240"/>
      <w:ind w:left="864" w:right="864"/>
      <w:jc w:val="center"/>
    </w:pPr>
    <w:rPr>
      <w:rFonts w:asciiTheme="majorHAnsi" w:eastAsiaTheme="majorEastAsia" w:hAnsiTheme="majorHAnsi" w:cstheme="majorBidi"/>
      <w:color w:val="006CA9" w:themeColor="accent1"/>
      <w:sz w:val="28"/>
      <w:szCs w:val="28"/>
    </w:rPr>
  </w:style>
  <w:style w:type="character" w:customStyle="1" w:styleId="IntenseQuoteChar">
    <w:name w:val="Intense Quote Char"/>
    <w:basedOn w:val="DefaultParagraphFont"/>
    <w:link w:val="IntenseQuote"/>
    <w:uiPriority w:val="30"/>
    <w:rsid w:val="0052288C"/>
    <w:rPr>
      <w:rFonts w:asciiTheme="majorHAnsi" w:eastAsiaTheme="majorEastAsia" w:hAnsiTheme="majorHAnsi" w:cstheme="majorBidi"/>
      <w:color w:val="006CA9" w:themeColor="accent1"/>
      <w:sz w:val="28"/>
      <w:szCs w:val="28"/>
    </w:rPr>
  </w:style>
  <w:style w:type="character" w:styleId="SubtleEmphasis">
    <w:name w:val="Subtle Emphasis"/>
    <w:basedOn w:val="DefaultParagraphFont"/>
    <w:uiPriority w:val="19"/>
    <w:qFormat/>
    <w:rsid w:val="0052288C"/>
    <w:rPr>
      <w:i/>
      <w:iCs/>
      <w:color w:val="595959" w:themeColor="text1" w:themeTint="A6"/>
    </w:rPr>
  </w:style>
  <w:style w:type="character" w:styleId="IntenseEmphasis">
    <w:name w:val="Intense Emphasis"/>
    <w:basedOn w:val="DefaultParagraphFont"/>
    <w:uiPriority w:val="21"/>
    <w:qFormat/>
    <w:rsid w:val="0052288C"/>
    <w:rPr>
      <w:b/>
      <w:bCs/>
      <w:i/>
      <w:iCs/>
    </w:rPr>
  </w:style>
  <w:style w:type="character" w:styleId="SubtleReference">
    <w:name w:val="Subtle Reference"/>
    <w:basedOn w:val="DefaultParagraphFont"/>
    <w:uiPriority w:val="31"/>
    <w:qFormat/>
    <w:rsid w:val="0052288C"/>
    <w:rPr>
      <w:smallCaps/>
      <w:color w:val="404040" w:themeColor="text1" w:themeTint="BF"/>
    </w:rPr>
  </w:style>
  <w:style w:type="character" w:styleId="IntenseReference">
    <w:name w:val="Intense Reference"/>
    <w:basedOn w:val="DefaultParagraphFont"/>
    <w:uiPriority w:val="32"/>
    <w:qFormat/>
    <w:rsid w:val="0052288C"/>
    <w:rPr>
      <w:b/>
      <w:bCs/>
      <w:smallCaps/>
      <w:u w:val="single"/>
    </w:rPr>
  </w:style>
  <w:style w:type="character" w:styleId="BookTitle">
    <w:name w:val="Book Title"/>
    <w:basedOn w:val="DefaultParagraphFont"/>
    <w:uiPriority w:val="33"/>
    <w:qFormat/>
    <w:rsid w:val="0052288C"/>
    <w:rPr>
      <w:b/>
      <w:bCs/>
      <w:smallCaps/>
    </w:rPr>
  </w:style>
  <w:style w:type="paragraph" w:styleId="TOCHeading">
    <w:name w:val="TOC Heading"/>
    <w:basedOn w:val="Heading1"/>
    <w:next w:val="Normal"/>
    <w:uiPriority w:val="39"/>
    <w:semiHidden/>
    <w:unhideWhenUsed/>
    <w:qFormat/>
    <w:rsid w:val="0052288C"/>
    <w:pPr>
      <w:outlineLvl w:val="9"/>
    </w:pPr>
  </w:style>
  <w:style w:type="paragraph" w:styleId="ListParagraph">
    <w:name w:val="List Paragraph"/>
    <w:basedOn w:val="Normal"/>
    <w:uiPriority w:val="34"/>
    <w:qFormat/>
    <w:rsid w:val="00B87A4C"/>
    <w:pPr>
      <w:numPr>
        <w:numId w:val="1"/>
      </w:numPr>
      <w:contextualSpacing/>
    </w:pPr>
  </w:style>
  <w:style w:type="table" w:styleId="TableGrid">
    <w:name w:val="Table Grid"/>
    <w:basedOn w:val="TableNormal"/>
    <w:rsid w:val="007239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5155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95155A"/>
    <w:rPr>
      <w:color w:val="0000FF"/>
      <w:u w:val="single"/>
    </w:rPr>
  </w:style>
  <w:style w:type="paragraph" w:customStyle="1" w:styleId="subpara1">
    <w:name w:val="subpara1"/>
    <w:basedOn w:val="Normal"/>
    <w:rsid w:val="0095155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xrefout">
    <w:name w:val="xrefout"/>
    <w:basedOn w:val="DefaultParagraphFont"/>
    <w:rsid w:val="00C46A3A"/>
  </w:style>
  <w:style w:type="character" w:customStyle="1" w:styleId="extended">
    <w:name w:val="extended"/>
    <w:basedOn w:val="DefaultParagraphFont"/>
    <w:rsid w:val="005B24AA"/>
  </w:style>
  <w:style w:type="character" w:customStyle="1" w:styleId="section-type">
    <w:name w:val="section-type"/>
    <w:basedOn w:val="DefaultParagraphFont"/>
    <w:rsid w:val="005B24AA"/>
  </w:style>
  <w:style w:type="paragraph" w:customStyle="1" w:styleId="Default">
    <w:name w:val="Default"/>
    <w:rsid w:val="00C47851"/>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subpara11">
    <w:name w:val="subpara11"/>
    <w:basedOn w:val="Normal"/>
    <w:rsid w:val="00210D6C"/>
    <w:pPr>
      <w:spacing w:before="100" w:beforeAutospacing="1" w:after="100" w:afterAutospacing="1" w:line="240" w:lineRule="auto"/>
      <w:ind w:left="480" w:right="240"/>
      <w:jc w:val="both"/>
    </w:pPr>
    <w:rPr>
      <w:rFonts w:ascii="Arial" w:eastAsia="Times New Roman" w:hAnsi="Arial" w:cs="Arial"/>
      <w:color w:val="000000"/>
      <w:sz w:val="18"/>
      <w:szCs w:val="18"/>
      <w:lang w:val="en-GB" w:eastAsia="en-GB"/>
    </w:rPr>
  </w:style>
  <w:style w:type="paragraph" w:customStyle="1" w:styleId="subpara21">
    <w:name w:val="subpara21"/>
    <w:basedOn w:val="Normal"/>
    <w:rsid w:val="00210D6C"/>
    <w:pPr>
      <w:spacing w:before="100" w:beforeAutospacing="1" w:after="100" w:afterAutospacing="1" w:line="240" w:lineRule="auto"/>
      <w:ind w:left="960" w:right="240"/>
      <w:jc w:val="both"/>
    </w:pPr>
    <w:rPr>
      <w:rFonts w:ascii="Arial" w:eastAsia="Times New Roman" w:hAnsi="Arial" w:cs="Arial"/>
      <w:color w:val="000000"/>
      <w:sz w:val="18"/>
      <w:szCs w:val="18"/>
      <w:lang w:val="en-GB" w:eastAsia="en-GB"/>
    </w:rPr>
  </w:style>
  <w:style w:type="paragraph" w:customStyle="1" w:styleId="BodyText1">
    <w:name w:val="Body Text1"/>
    <w:basedOn w:val="Normal"/>
    <w:link w:val="BodytextChar"/>
    <w:rsid w:val="00CA16F9"/>
    <w:pPr>
      <w:spacing w:before="0" w:after="0" w:line="240" w:lineRule="auto"/>
      <w:jc w:val="both"/>
    </w:pPr>
    <w:rPr>
      <w:rFonts w:ascii="Arial" w:eastAsia="Times New Roman" w:hAnsi="Arial" w:cs="Times New Roman"/>
      <w:color w:val="808080"/>
      <w:sz w:val="20"/>
      <w:szCs w:val="24"/>
      <w:lang w:val="en-GB"/>
    </w:rPr>
  </w:style>
  <w:style w:type="character" w:customStyle="1" w:styleId="BodytextChar">
    <w:name w:val="Body text Char"/>
    <w:link w:val="BodyText1"/>
    <w:rsid w:val="00CA16F9"/>
    <w:rPr>
      <w:rFonts w:ascii="Arial" w:eastAsia="Times New Roman" w:hAnsi="Arial" w:cs="Times New Roman"/>
      <w:color w:val="808080"/>
      <w:sz w:val="20"/>
      <w:szCs w:val="24"/>
      <w:lang w:val="en-GB"/>
    </w:rPr>
  </w:style>
  <w:style w:type="character" w:styleId="CommentReference">
    <w:name w:val="annotation reference"/>
    <w:basedOn w:val="DefaultParagraphFont"/>
    <w:uiPriority w:val="99"/>
    <w:semiHidden/>
    <w:unhideWhenUsed/>
    <w:rsid w:val="00224B8D"/>
    <w:rPr>
      <w:sz w:val="16"/>
      <w:szCs w:val="16"/>
    </w:rPr>
  </w:style>
  <w:style w:type="paragraph" w:styleId="CommentText">
    <w:name w:val="annotation text"/>
    <w:basedOn w:val="Normal"/>
    <w:link w:val="CommentTextChar"/>
    <w:uiPriority w:val="99"/>
    <w:unhideWhenUsed/>
    <w:rsid w:val="00224B8D"/>
    <w:pPr>
      <w:spacing w:line="240" w:lineRule="auto"/>
    </w:pPr>
    <w:rPr>
      <w:sz w:val="20"/>
      <w:szCs w:val="20"/>
    </w:rPr>
  </w:style>
  <w:style w:type="character" w:customStyle="1" w:styleId="CommentTextChar">
    <w:name w:val="Comment Text Char"/>
    <w:basedOn w:val="DefaultParagraphFont"/>
    <w:link w:val="CommentText"/>
    <w:uiPriority w:val="99"/>
    <w:rsid w:val="00224B8D"/>
    <w:rPr>
      <w:sz w:val="20"/>
      <w:szCs w:val="20"/>
    </w:rPr>
  </w:style>
  <w:style w:type="paragraph" w:styleId="CommentSubject">
    <w:name w:val="annotation subject"/>
    <w:basedOn w:val="CommentText"/>
    <w:next w:val="CommentText"/>
    <w:link w:val="CommentSubjectChar"/>
    <w:uiPriority w:val="99"/>
    <w:semiHidden/>
    <w:unhideWhenUsed/>
    <w:rsid w:val="00224B8D"/>
    <w:rPr>
      <w:b/>
      <w:bCs/>
    </w:rPr>
  </w:style>
  <w:style w:type="character" w:customStyle="1" w:styleId="CommentSubjectChar">
    <w:name w:val="Comment Subject Char"/>
    <w:basedOn w:val="CommentTextChar"/>
    <w:link w:val="CommentSubject"/>
    <w:uiPriority w:val="99"/>
    <w:semiHidden/>
    <w:rsid w:val="00224B8D"/>
    <w:rPr>
      <w:b/>
      <w:bCs/>
      <w:sz w:val="20"/>
      <w:szCs w:val="20"/>
    </w:rPr>
  </w:style>
  <w:style w:type="character" w:styleId="UnresolvedMention">
    <w:name w:val="Unresolved Mention"/>
    <w:basedOn w:val="DefaultParagraphFont"/>
    <w:uiPriority w:val="99"/>
    <w:semiHidden/>
    <w:unhideWhenUsed/>
    <w:rsid w:val="00A80122"/>
    <w:rPr>
      <w:color w:val="605E5C"/>
      <w:shd w:val="clear" w:color="auto" w:fill="E1DFDD"/>
    </w:rPr>
  </w:style>
  <w:style w:type="paragraph" w:styleId="Revision">
    <w:name w:val="Revision"/>
    <w:hidden/>
    <w:uiPriority w:val="99"/>
    <w:semiHidden/>
    <w:rsid w:val="00451FE0"/>
    <w:pPr>
      <w:spacing w:after="0" w:line="240" w:lineRule="auto"/>
    </w:pPr>
  </w:style>
  <w:style w:type="paragraph" w:styleId="EndnoteText">
    <w:name w:val="endnote text"/>
    <w:basedOn w:val="Normal"/>
    <w:link w:val="EndnoteTextChar"/>
    <w:uiPriority w:val="99"/>
    <w:semiHidden/>
    <w:unhideWhenUsed/>
    <w:rsid w:val="00B342DC"/>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342DC"/>
    <w:rPr>
      <w:sz w:val="20"/>
      <w:szCs w:val="20"/>
    </w:rPr>
  </w:style>
  <w:style w:type="character" w:styleId="EndnoteReference">
    <w:name w:val="endnote reference"/>
    <w:basedOn w:val="DefaultParagraphFont"/>
    <w:uiPriority w:val="99"/>
    <w:semiHidden/>
    <w:unhideWhenUsed/>
    <w:rsid w:val="00B342DC"/>
    <w:rPr>
      <w:vertAlign w:val="superscript"/>
    </w:rPr>
  </w:style>
  <w:style w:type="paragraph" w:styleId="FootnoteText">
    <w:name w:val="footnote text"/>
    <w:basedOn w:val="Normal"/>
    <w:link w:val="FootnoteTextChar"/>
    <w:uiPriority w:val="99"/>
    <w:semiHidden/>
    <w:unhideWhenUsed/>
    <w:rsid w:val="00B342DC"/>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B342DC"/>
    <w:rPr>
      <w:sz w:val="20"/>
      <w:szCs w:val="20"/>
    </w:rPr>
  </w:style>
  <w:style w:type="character" w:styleId="FootnoteReference">
    <w:name w:val="footnote reference"/>
    <w:basedOn w:val="DefaultParagraphFont"/>
    <w:uiPriority w:val="99"/>
    <w:semiHidden/>
    <w:unhideWhenUsed/>
    <w:rsid w:val="00B342DC"/>
    <w:rPr>
      <w:vertAlign w:val="superscript"/>
    </w:rPr>
  </w:style>
  <w:style w:type="paragraph" w:styleId="Header">
    <w:name w:val="header"/>
    <w:basedOn w:val="Normal"/>
    <w:link w:val="HeaderChar"/>
    <w:uiPriority w:val="99"/>
    <w:unhideWhenUsed/>
    <w:rsid w:val="00075C3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75C31"/>
  </w:style>
  <w:style w:type="paragraph" w:styleId="Footer">
    <w:name w:val="footer"/>
    <w:basedOn w:val="Normal"/>
    <w:link w:val="FooterChar"/>
    <w:uiPriority w:val="99"/>
    <w:unhideWhenUsed/>
    <w:rsid w:val="00075C3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75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52198">
      <w:bodyDiv w:val="1"/>
      <w:marLeft w:val="0"/>
      <w:marRight w:val="0"/>
      <w:marTop w:val="0"/>
      <w:marBottom w:val="0"/>
      <w:divBdr>
        <w:top w:val="none" w:sz="0" w:space="0" w:color="auto"/>
        <w:left w:val="none" w:sz="0" w:space="0" w:color="auto"/>
        <w:bottom w:val="none" w:sz="0" w:space="0" w:color="auto"/>
        <w:right w:val="none" w:sz="0" w:space="0" w:color="auto"/>
      </w:divBdr>
    </w:div>
    <w:div w:id="81218323">
      <w:bodyDiv w:val="1"/>
      <w:marLeft w:val="0"/>
      <w:marRight w:val="0"/>
      <w:marTop w:val="0"/>
      <w:marBottom w:val="0"/>
      <w:divBdr>
        <w:top w:val="none" w:sz="0" w:space="0" w:color="auto"/>
        <w:left w:val="none" w:sz="0" w:space="0" w:color="auto"/>
        <w:bottom w:val="none" w:sz="0" w:space="0" w:color="auto"/>
        <w:right w:val="none" w:sz="0" w:space="0" w:color="auto"/>
      </w:divBdr>
    </w:div>
    <w:div w:id="85225748">
      <w:bodyDiv w:val="1"/>
      <w:marLeft w:val="0"/>
      <w:marRight w:val="0"/>
      <w:marTop w:val="0"/>
      <w:marBottom w:val="0"/>
      <w:divBdr>
        <w:top w:val="none" w:sz="0" w:space="0" w:color="auto"/>
        <w:left w:val="none" w:sz="0" w:space="0" w:color="auto"/>
        <w:bottom w:val="none" w:sz="0" w:space="0" w:color="auto"/>
        <w:right w:val="none" w:sz="0" w:space="0" w:color="auto"/>
      </w:divBdr>
    </w:div>
    <w:div w:id="345331039">
      <w:bodyDiv w:val="1"/>
      <w:marLeft w:val="0"/>
      <w:marRight w:val="0"/>
      <w:marTop w:val="0"/>
      <w:marBottom w:val="0"/>
      <w:divBdr>
        <w:top w:val="none" w:sz="0" w:space="0" w:color="auto"/>
        <w:left w:val="none" w:sz="0" w:space="0" w:color="auto"/>
        <w:bottom w:val="none" w:sz="0" w:space="0" w:color="auto"/>
        <w:right w:val="none" w:sz="0" w:space="0" w:color="auto"/>
      </w:divBdr>
    </w:div>
    <w:div w:id="405805666">
      <w:bodyDiv w:val="1"/>
      <w:marLeft w:val="0"/>
      <w:marRight w:val="0"/>
      <w:marTop w:val="0"/>
      <w:marBottom w:val="0"/>
      <w:divBdr>
        <w:top w:val="none" w:sz="0" w:space="0" w:color="auto"/>
        <w:left w:val="none" w:sz="0" w:space="0" w:color="auto"/>
        <w:bottom w:val="none" w:sz="0" w:space="0" w:color="auto"/>
        <w:right w:val="none" w:sz="0" w:space="0" w:color="auto"/>
      </w:divBdr>
      <w:divsChild>
        <w:div w:id="208490632">
          <w:marLeft w:val="0"/>
          <w:marRight w:val="0"/>
          <w:marTop w:val="0"/>
          <w:marBottom w:val="0"/>
          <w:divBdr>
            <w:top w:val="none" w:sz="0" w:space="0" w:color="auto"/>
            <w:left w:val="none" w:sz="0" w:space="0" w:color="auto"/>
            <w:bottom w:val="none" w:sz="0" w:space="0" w:color="auto"/>
            <w:right w:val="none" w:sz="0" w:space="0" w:color="auto"/>
          </w:divBdr>
          <w:divsChild>
            <w:div w:id="210852740">
              <w:marLeft w:val="0"/>
              <w:marRight w:val="0"/>
              <w:marTop w:val="0"/>
              <w:marBottom w:val="0"/>
              <w:divBdr>
                <w:top w:val="none" w:sz="0" w:space="0" w:color="auto"/>
                <w:left w:val="none" w:sz="0" w:space="0" w:color="auto"/>
                <w:bottom w:val="none" w:sz="0" w:space="0" w:color="auto"/>
                <w:right w:val="none" w:sz="0" w:space="0" w:color="auto"/>
              </w:divBdr>
            </w:div>
          </w:divsChild>
        </w:div>
        <w:div w:id="1736858603">
          <w:marLeft w:val="0"/>
          <w:marRight w:val="0"/>
          <w:marTop w:val="0"/>
          <w:marBottom w:val="300"/>
          <w:divBdr>
            <w:top w:val="none" w:sz="0" w:space="0" w:color="auto"/>
            <w:left w:val="none" w:sz="0" w:space="0" w:color="auto"/>
            <w:bottom w:val="none" w:sz="0" w:space="0" w:color="auto"/>
            <w:right w:val="none" w:sz="0" w:space="0" w:color="auto"/>
          </w:divBdr>
        </w:div>
      </w:divsChild>
    </w:div>
    <w:div w:id="516308371">
      <w:bodyDiv w:val="1"/>
      <w:marLeft w:val="0"/>
      <w:marRight w:val="0"/>
      <w:marTop w:val="0"/>
      <w:marBottom w:val="0"/>
      <w:divBdr>
        <w:top w:val="none" w:sz="0" w:space="0" w:color="auto"/>
        <w:left w:val="none" w:sz="0" w:space="0" w:color="auto"/>
        <w:bottom w:val="none" w:sz="0" w:space="0" w:color="auto"/>
        <w:right w:val="none" w:sz="0" w:space="0" w:color="auto"/>
      </w:divBdr>
    </w:div>
    <w:div w:id="583073887">
      <w:bodyDiv w:val="1"/>
      <w:marLeft w:val="0"/>
      <w:marRight w:val="0"/>
      <w:marTop w:val="0"/>
      <w:marBottom w:val="0"/>
      <w:divBdr>
        <w:top w:val="none" w:sz="0" w:space="0" w:color="auto"/>
        <w:left w:val="none" w:sz="0" w:space="0" w:color="auto"/>
        <w:bottom w:val="none" w:sz="0" w:space="0" w:color="auto"/>
        <w:right w:val="none" w:sz="0" w:space="0" w:color="auto"/>
      </w:divBdr>
    </w:div>
    <w:div w:id="651182763">
      <w:bodyDiv w:val="1"/>
      <w:marLeft w:val="0"/>
      <w:marRight w:val="0"/>
      <w:marTop w:val="0"/>
      <w:marBottom w:val="0"/>
      <w:divBdr>
        <w:top w:val="none" w:sz="0" w:space="0" w:color="auto"/>
        <w:left w:val="none" w:sz="0" w:space="0" w:color="auto"/>
        <w:bottom w:val="none" w:sz="0" w:space="0" w:color="auto"/>
        <w:right w:val="none" w:sz="0" w:space="0" w:color="auto"/>
      </w:divBdr>
    </w:div>
    <w:div w:id="864097581">
      <w:bodyDiv w:val="1"/>
      <w:marLeft w:val="0"/>
      <w:marRight w:val="0"/>
      <w:marTop w:val="0"/>
      <w:marBottom w:val="0"/>
      <w:divBdr>
        <w:top w:val="none" w:sz="0" w:space="0" w:color="auto"/>
        <w:left w:val="none" w:sz="0" w:space="0" w:color="auto"/>
        <w:bottom w:val="none" w:sz="0" w:space="0" w:color="auto"/>
        <w:right w:val="none" w:sz="0" w:space="0" w:color="auto"/>
      </w:divBdr>
      <w:divsChild>
        <w:div w:id="907351303">
          <w:marLeft w:val="0"/>
          <w:marRight w:val="0"/>
          <w:marTop w:val="0"/>
          <w:marBottom w:val="300"/>
          <w:divBdr>
            <w:top w:val="none" w:sz="0" w:space="0" w:color="auto"/>
            <w:left w:val="none" w:sz="0" w:space="0" w:color="auto"/>
            <w:bottom w:val="none" w:sz="0" w:space="0" w:color="auto"/>
            <w:right w:val="none" w:sz="0" w:space="0" w:color="auto"/>
          </w:divBdr>
          <w:divsChild>
            <w:div w:id="1909027679">
              <w:marLeft w:val="0"/>
              <w:marRight w:val="0"/>
              <w:marTop w:val="0"/>
              <w:marBottom w:val="0"/>
              <w:divBdr>
                <w:top w:val="none" w:sz="0" w:space="0" w:color="auto"/>
                <w:left w:val="none" w:sz="0" w:space="0" w:color="auto"/>
                <w:bottom w:val="none" w:sz="0" w:space="0" w:color="auto"/>
                <w:right w:val="none" w:sz="0" w:space="0" w:color="auto"/>
              </w:divBdr>
              <w:divsChild>
                <w:div w:id="1235820893">
                  <w:marLeft w:val="0"/>
                  <w:marRight w:val="0"/>
                  <w:marTop w:val="0"/>
                  <w:marBottom w:val="0"/>
                  <w:divBdr>
                    <w:top w:val="none" w:sz="0" w:space="0" w:color="auto"/>
                    <w:left w:val="none" w:sz="0" w:space="0" w:color="auto"/>
                    <w:bottom w:val="none" w:sz="0" w:space="0" w:color="auto"/>
                    <w:right w:val="none" w:sz="0" w:space="0" w:color="auto"/>
                  </w:divBdr>
                </w:div>
              </w:divsChild>
            </w:div>
            <w:div w:id="2102871177">
              <w:marLeft w:val="0"/>
              <w:marRight w:val="0"/>
              <w:marTop w:val="0"/>
              <w:marBottom w:val="300"/>
              <w:divBdr>
                <w:top w:val="none" w:sz="0" w:space="0" w:color="auto"/>
                <w:left w:val="none" w:sz="0" w:space="0" w:color="auto"/>
                <w:bottom w:val="none" w:sz="0" w:space="0" w:color="auto"/>
                <w:right w:val="none" w:sz="0" w:space="0" w:color="auto"/>
              </w:divBdr>
            </w:div>
          </w:divsChild>
        </w:div>
        <w:div w:id="1507594368">
          <w:marLeft w:val="0"/>
          <w:marRight w:val="0"/>
          <w:marTop w:val="0"/>
          <w:marBottom w:val="300"/>
          <w:divBdr>
            <w:top w:val="none" w:sz="0" w:space="0" w:color="auto"/>
            <w:left w:val="none" w:sz="0" w:space="0" w:color="auto"/>
            <w:bottom w:val="none" w:sz="0" w:space="0" w:color="auto"/>
            <w:right w:val="none" w:sz="0" w:space="0" w:color="auto"/>
          </w:divBdr>
          <w:divsChild>
            <w:div w:id="779954111">
              <w:marLeft w:val="0"/>
              <w:marRight w:val="0"/>
              <w:marTop w:val="0"/>
              <w:marBottom w:val="0"/>
              <w:divBdr>
                <w:top w:val="none" w:sz="0" w:space="0" w:color="auto"/>
                <w:left w:val="none" w:sz="0" w:space="0" w:color="auto"/>
                <w:bottom w:val="none" w:sz="0" w:space="0" w:color="auto"/>
                <w:right w:val="none" w:sz="0" w:space="0" w:color="auto"/>
              </w:divBdr>
              <w:divsChild>
                <w:div w:id="104775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076392">
      <w:bodyDiv w:val="1"/>
      <w:marLeft w:val="0"/>
      <w:marRight w:val="0"/>
      <w:marTop w:val="0"/>
      <w:marBottom w:val="0"/>
      <w:divBdr>
        <w:top w:val="none" w:sz="0" w:space="0" w:color="auto"/>
        <w:left w:val="none" w:sz="0" w:space="0" w:color="auto"/>
        <w:bottom w:val="none" w:sz="0" w:space="0" w:color="auto"/>
        <w:right w:val="none" w:sz="0" w:space="0" w:color="auto"/>
      </w:divBdr>
    </w:div>
    <w:div w:id="937178135">
      <w:bodyDiv w:val="1"/>
      <w:marLeft w:val="0"/>
      <w:marRight w:val="0"/>
      <w:marTop w:val="0"/>
      <w:marBottom w:val="0"/>
      <w:divBdr>
        <w:top w:val="none" w:sz="0" w:space="0" w:color="auto"/>
        <w:left w:val="none" w:sz="0" w:space="0" w:color="auto"/>
        <w:bottom w:val="none" w:sz="0" w:space="0" w:color="auto"/>
        <w:right w:val="none" w:sz="0" w:space="0" w:color="auto"/>
      </w:divBdr>
    </w:div>
    <w:div w:id="959848174">
      <w:bodyDiv w:val="1"/>
      <w:marLeft w:val="0"/>
      <w:marRight w:val="0"/>
      <w:marTop w:val="0"/>
      <w:marBottom w:val="0"/>
      <w:divBdr>
        <w:top w:val="none" w:sz="0" w:space="0" w:color="auto"/>
        <w:left w:val="none" w:sz="0" w:space="0" w:color="auto"/>
        <w:bottom w:val="none" w:sz="0" w:space="0" w:color="auto"/>
        <w:right w:val="none" w:sz="0" w:space="0" w:color="auto"/>
      </w:divBdr>
    </w:div>
    <w:div w:id="992026640">
      <w:bodyDiv w:val="1"/>
      <w:marLeft w:val="0"/>
      <w:marRight w:val="0"/>
      <w:marTop w:val="0"/>
      <w:marBottom w:val="0"/>
      <w:divBdr>
        <w:top w:val="none" w:sz="0" w:space="0" w:color="auto"/>
        <w:left w:val="none" w:sz="0" w:space="0" w:color="auto"/>
        <w:bottom w:val="none" w:sz="0" w:space="0" w:color="auto"/>
        <w:right w:val="none" w:sz="0" w:space="0" w:color="auto"/>
      </w:divBdr>
    </w:div>
    <w:div w:id="1001588772">
      <w:bodyDiv w:val="1"/>
      <w:marLeft w:val="0"/>
      <w:marRight w:val="0"/>
      <w:marTop w:val="0"/>
      <w:marBottom w:val="0"/>
      <w:divBdr>
        <w:top w:val="none" w:sz="0" w:space="0" w:color="auto"/>
        <w:left w:val="none" w:sz="0" w:space="0" w:color="auto"/>
        <w:bottom w:val="none" w:sz="0" w:space="0" w:color="auto"/>
        <w:right w:val="none" w:sz="0" w:space="0" w:color="auto"/>
      </w:divBdr>
      <w:divsChild>
        <w:div w:id="878787570">
          <w:marLeft w:val="0"/>
          <w:marRight w:val="0"/>
          <w:marTop w:val="0"/>
          <w:marBottom w:val="0"/>
          <w:divBdr>
            <w:top w:val="none" w:sz="0" w:space="0" w:color="auto"/>
            <w:left w:val="none" w:sz="0" w:space="0" w:color="auto"/>
            <w:bottom w:val="none" w:sz="0" w:space="0" w:color="auto"/>
            <w:right w:val="none" w:sz="0" w:space="0" w:color="auto"/>
          </w:divBdr>
          <w:divsChild>
            <w:div w:id="1445922914">
              <w:marLeft w:val="0"/>
              <w:marRight w:val="0"/>
              <w:marTop w:val="0"/>
              <w:marBottom w:val="0"/>
              <w:divBdr>
                <w:top w:val="none" w:sz="0" w:space="0" w:color="auto"/>
                <w:left w:val="none" w:sz="0" w:space="0" w:color="auto"/>
                <w:bottom w:val="none" w:sz="0" w:space="0" w:color="auto"/>
                <w:right w:val="none" w:sz="0" w:space="0" w:color="auto"/>
              </w:divBdr>
            </w:div>
          </w:divsChild>
        </w:div>
        <w:div w:id="1478524756">
          <w:marLeft w:val="0"/>
          <w:marRight w:val="0"/>
          <w:marTop w:val="0"/>
          <w:marBottom w:val="300"/>
          <w:divBdr>
            <w:top w:val="none" w:sz="0" w:space="0" w:color="auto"/>
            <w:left w:val="none" w:sz="0" w:space="0" w:color="auto"/>
            <w:bottom w:val="none" w:sz="0" w:space="0" w:color="auto"/>
            <w:right w:val="none" w:sz="0" w:space="0" w:color="auto"/>
          </w:divBdr>
        </w:div>
      </w:divsChild>
    </w:div>
    <w:div w:id="1010134503">
      <w:bodyDiv w:val="1"/>
      <w:marLeft w:val="0"/>
      <w:marRight w:val="0"/>
      <w:marTop w:val="0"/>
      <w:marBottom w:val="0"/>
      <w:divBdr>
        <w:top w:val="none" w:sz="0" w:space="0" w:color="auto"/>
        <w:left w:val="none" w:sz="0" w:space="0" w:color="auto"/>
        <w:bottom w:val="none" w:sz="0" w:space="0" w:color="auto"/>
        <w:right w:val="none" w:sz="0" w:space="0" w:color="auto"/>
      </w:divBdr>
    </w:div>
    <w:div w:id="1043823982">
      <w:bodyDiv w:val="1"/>
      <w:marLeft w:val="0"/>
      <w:marRight w:val="0"/>
      <w:marTop w:val="0"/>
      <w:marBottom w:val="0"/>
      <w:divBdr>
        <w:top w:val="none" w:sz="0" w:space="0" w:color="auto"/>
        <w:left w:val="none" w:sz="0" w:space="0" w:color="auto"/>
        <w:bottom w:val="none" w:sz="0" w:space="0" w:color="auto"/>
        <w:right w:val="none" w:sz="0" w:space="0" w:color="auto"/>
      </w:divBdr>
    </w:div>
    <w:div w:id="1060400729">
      <w:bodyDiv w:val="1"/>
      <w:marLeft w:val="0"/>
      <w:marRight w:val="0"/>
      <w:marTop w:val="0"/>
      <w:marBottom w:val="0"/>
      <w:divBdr>
        <w:top w:val="none" w:sz="0" w:space="0" w:color="auto"/>
        <w:left w:val="none" w:sz="0" w:space="0" w:color="auto"/>
        <w:bottom w:val="none" w:sz="0" w:space="0" w:color="auto"/>
        <w:right w:val="none" w:sz="0" w:space="0" w:color="auto"/>
      </w:divBdr>
    </w:div>
    <w:div w:id="1171798392">
      <w:bodyDiv w:val="1"/>
      <w:marLeft w:val="0"/>
      <w:marRight w:val="0"/>
      <w:marTop w:val="0"/>
      <w:marBottom w:val="0"/>
      <w:divBdr>
        <w:top w:val="none" w:sz="0" w:space="0" w:color="auto"/>
        <w:left w:val="none" w:sz="0" w:space="0" w:color="auto"/>
        <w:bottom w:val="none" w:sz="0" w:space="0" w:color="auto"/>
        <w:right w:val="none" w:sz="0" w:space="0" w:color="auto"/>
      </w:divBdr>
    </w:div>
    <w:div w:id="1190335677">
      <w:bodyDiv w:val="1"/>
      <w:marLeft w:val="0"/>
      <w:marRight w:val="0"/>
      <w:marTop w:val="0"/>
      <w:marBottom w:val="0"/>
      <w:divBdr>
        <w:top w:val="none" w:sz="0" w:space="0" w:color="auto"/>
        <w:left w:val="none" w:sz="0" w:space="0" w:color="auto"/>
        <w:bottom w:val="none" w:sz="0" w:space="0" w:color="auto"/>
        <w:right w:val="none" w:sz="0" w:space="0" w:color="auto"/>
      </w:divBdr>
    </w:div>
    <w:div w:id="1200313552">
      <w:bodyDiv w:val="1"/>
      <w:marLeft w:val="0"/>
      <w:marRight w:val="0"/>
      <w:marTop w:val="0"/>
      <w:marBottom w:val="0"/>
      <w:divBdr>
        <w:top w:val="none" w:sz="0" w:space="0" w:color="auto"/>
        <w:left w:val="none" w:sz="0" w:space="0" w:color="auto"/>
        <w:bottom w:val="none" w:sz="0" w:space="0" w:color="auto"/>
        <w:right w:val="none" w:sz="0" w:space="0" w:color="auto"/>
      </w:divBdr>
      <w:divsChild>
        <w:div w:id="833453023">
          <w:marLeft w:val="0"/>
          <w:marRight w:val="0"/>
          <w:marTop w:val="0"/>
          <w:marBottom w:val="300"/>
          <w:divBdr>
            <w:top w:val="none" w:sz="0" w:space="0" w:color="auto"/>
            <w:left w:val="none" w:sz="0" w:space="0" w:color="auto"/>
            <w:bottom w:val="none" w:sz="0" w:space="0" w:color="auto"/>
            <w:right w:val="none" w:sz="0" w:space="0" w:color="auto"/>
          </w:divBdr>
          <w:divsChild>
            <w:div w:id="682439084">
              <w:marLeft w:val="0"/>
              <w:marRight w:val="0"/>
              <w:marTop w:val="0"/>
              <w:marBottom w:val="0"/>
              <w:divBdr>
                <w:top w:val="none" w:sz="0" w:space="0" w:color="auto"/>
                <w:left w:val="none" w:sz="0" w:space="0" w:color="auto"/>
                <w:bottom w:val="none" w:sz="0" w:space="0" w:color="auto"/>
                <w:right w:val="none" w:sz="0" w:space="0" w:color="auto"/>
              </w:divBdr>
              <w:divsChild>
                <w:div w:id="18967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45344">
          <w:marLeft w:val="0"/>
          <w:marRight w:val="0"/>
          <w:marTop w:val="0"/>
          <w:marBottom w:val="300"/>
          <w:divBdr>
            <w:top w:val="none" w:sz="0" w:space="0" w:color="auto"/>
            <w:left w:val="none" w:sz="0" w:space="0" w:color="auto"/>
            <w:bottom w:val="none" w:sz="0" w:space="0" w:color="auto"/>
            <w:right w:val="none" w:sz="0" w:space="0" w:color="auto"/>
          </w:divBdr>
          <w:divsChild>
            <w:div w:id="1073088070">
              <w:marLeft w:val="0"/>
              <w:marRight w:val="0"/>
              <w:marTop w:val="0"/>
              <w:marBottom w:val="300"/>
              <w:divBdr>
                <w:top w:val="none" w:sz="0" w:space="0" w:color="auto"/>
                <w:left w:val="none" w:sz="0" w:space="0" w:color="auto"/>
                <w:bottom w:val="none" w:sz="0" w:space="0" w:color="auto"/>
                <w:right w:val="none" w:sz="0" w:space="0" w:color="auto"/>
              </w:divBdr>
            </w:div>
            <w:div w:id="1675912091">
              <w:marLeft w:val="0"/>
              <w:marRight w:val="0"/>
              <w:marTop w:val="0"/>
              <w:marBottom w:val="0"/>
              <w:divBdr>
                <w:top w:val="none" w:sz="0" w:space="0" w:color="auto"/>
                <w:left w:val="none" w:sz="0" w:space="0" w:color="auto"/>
                <w:bottom w:val="none" w:sz="0" w:space="0" w:color="auto"/>
                <w:right w:val="none" w:sz="0" w:space="0" w:color="auto"/>
              </w:divBdr>
              <w:divsChild>
                <w:div w:id="120358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29097">
      <w:bodyDiv w:val="1"/>
      <w:marLeft w:val="0"/>
      <w:marRight w:val="0"/>
      <w:marTop w:val="0"/>
      <w:marBottom w:val="0"/>
      <w:divBdr>
        <w:top w:val="none" w:sz="0" w:space="0" w:color="auto"/>
        <w:left w:val="none" w:sz="0" w:space="0" w:color="auto"/>
        <w:bottom w:val="none" w:sz="0" w:space="0" w:color="auto"/>
        <w:right w:val="none" w:sz="0" w:space="0" w:color="auto"/>
      </w:divBdr>
    </w:div>
    <w:div w:id="1266576699">
      <w:bodyDiv w:val="1"/>
      <w:marLeft w:val="0"/>
      <w:marRight w:val="0"/>
      <w:marTop w:val="0"/>
      <w:marBottom w:val="0"/>
      <w:divBdr>
        <w:top w:val="none" w:sz="0" w:space="0" w:color="auto"/>
        <w:left w:val="none" w:sz="0" w:space="0" w:color="auto"/>
        <w:bottom w:val="none" w:sz="0" w:space="0" w:color="auto"/>
        <w:right w:val="none" w:sz="0" w:space="0" w:color="auto"/>
      </w:divBdr>
    </w:div>
    <w:div w:id="1417288290">
      <w:bodyDiv w:val="1"/>
      <w:marLeft w:val="0"/>
      <w:marRight w:val="0"/>
      <w:marTop w:val="0"/>
      <w:marBottom w:val="0"/>
      <w:divBdr>
        <w:top w:val="none" w:sz="0" w:space="0" w:color="auto"/>
        <w:left w:val="none" w:sz="0" w:space="0" w:color="auto"/>
        <w:bottom w:val="none" w:sz="0" w:space="0" w:color="auto"/>
        <w:right w:val="none" w:sz="0" w:space="0" w:color="auto"/>
      </w:divBdr>
    </w:div>
    <w:div w:id="1430808525">
      <w:bodyDiv w:val="1"/>
      <w:marLeft w:val="0"/>
      <w:marRight w:val="0"/>
      <w:marTop w:val="0"/>
      <w:marBottom w:val="0"/>
      <w:divBdr>
        <w:top w:val="none" w:sz="0" w:space="0" w:color="auto"/>
        <w:left w:val="none" w:sz="0" w:space="0" w:color="auto"/>
        <w:bottom w:val="none" w:sz="0" w:space="0" w:color="auto"/>
        <w:right w:val="none" w:sz="0" w:space="0" w:color="auto"/>
      </w:divBdr>
    </w:div>
    <w:div w:id="1490320988">
      <w:bodyDiv w:val="1"/>
      <w:marLeft w:val="0"/>
      <w:marRight w:val="0"/>
      <w:marTop w:val="0"/>
      <w:marBottom w:val="0"/>
      <w:divBdr>
        <w:top w:val="none" w:sz="0" w:space="0" w:color="auto"/>
        <w:left w:val="none" w:sz="0" w:space="0" w:color="auto"/>
        <w:bottom w:val="none" w:sz="0" w:space="0" w:color="auto"/>
        <w:right w:val="none" w:sz="0" w:space="0" w:color="auto"/>
      </w:divBdr>
    </w:div>
    <w:div w:id="1508211760">
      <w:bodyDiv w:val="1"/>
      <w:marLeft w:val="0"/>
      <w:marRight w:val="0"/>
      <w:marTop w:val="0"/>
      <w:marBottom w:val="0"/>
      <w:divBdr>
        <w:top w:val="none" w:sz="0" w:space="0" w:color="auto"/>
        <w:left w:val="none" w:sz="0" w:space="0" w:color="auto"/>
        <w:bottom w:val="none" w:sz="0" w:space="0" w:color="auto"/>
        <w:right w:val="none" w:sz="0" w:space="0" w:color="auto"/>
      </w:divBdr>
    </w:div>
    <w:div w:id="1544781012">
      <w:bodyDiv w:val="1"/>
      <w:marLeft w:val="0"/>
      <w:marRight w:val="0"/>
      <w:marTop w:val="0"/>
      <w:marBottom w:val="0"/>
      <w:divBdr>
        <w:top w:val="none" w:sz="0" w:space="0" w:color="auto"/>
        <w:left w:val="none" w:sz="0" w:space="0" w:color="auto"/>
        <w:bottom w:val="none" w:sz="0" w:space="0" w:color="auto"/>
        <w:right w:val="none" w:sz="0" w:space="0" w:color="auto"/>
      </w:divBdr>
    </w:div>
    <w:div w:id="1613706124">
      <w:marLeft w:val="0"/>
      <w:marRight w:val="0"/>
      <w:marTop w:val="0"/>
      <w:marBottom w:val="0"/>
      <w:divBdr>
        <w:top w:val="none" w:sz="0" w:space="0" w:color="auto"/>
        <w:left w:val="none" w:sz="0" w:space="0" w:color="auto"/>
        <w:bottom w:val="none" w:sz="0" w:space="0" w:color="auto"/>
        <w:right w:val="none" w:sz="0" w:space="0" w:color="auto"/>
      </w:divBdr>
    </w:div>
    <w:div w:id="1626351677">
      <w:bodyDiv w:val="1"/>
      <w:marLeft w:val="0"/>
      <w:marRight w:val="0"/>
      <w:marTop w:val="0"/>
      <w:marBottom w:val="0"/>
      <w:divBdr>
        <w:top w:val="none" w:sz="0" w:space="0" w:color="auto"/>
        <w:left w:val="none" w:sz="0" w:space="0" w:color="auto"/>
        <w:bottom w:val="none" w:sz="0" w:space="0" w:color="auto"/>
        <w:right w:val="none" w:sz="0" w:space="0" w:color="auto"/>
      </w:divBdr>
    </w:div>
    <w:div w:id="1817842441">
      <w:bodyDiv w:val="1"/>
      <w:marLeft w:val="0"/>
      <w:marRight w:val="0"/>
      <w:marTop w:val="0"/>
      <w:marBottom w:val="0"/>
      <w:divBdr>
        <w:top w:val="none" w:sz="0" w:space="0" w:color="auto"/>
        <w:left w:val="none" w:sz="0" w:space="0" w:color="auto"/>
        <w:bottom w:val="none" w:sz="0" w:space="0" w:color="auto"/>
        <w:right w:val="none" w:sz="0" w:space="0" w:color="auto"/>
      </w:divBdr>
    </w:div>
    <w:div w:id="1862359703">
      <w:bodyDiv w:val="1"/>
      <w:marLeft w:val="0"/>
      <w:marRight w:val="0"/>
      <w:marTop w:val="0"/>
      <w:marBottom w:val="0"/>
      <w:divBdr>
        <w:top w:val="none" w:sz="0" w:space="0" w:color="auto"/>
        <w:left w:val="none" w:sz="0" w:space="0" w:color="auto"/>
        <w:bottom w:val="none" w:sz="0" w:space="0" w:color="auto"/>
        <w:right w:val="none" w:sz="0" w:space="0" w:color="auto"/>
      </w:divBdr>
    </w:div>
    <w:div w:id="1933664291">
      <w:bodyDiv w:val="1"/>
      <w:marLeft w:val="0"/>
      <w:marRight w:val="0"/>
      <w:marTop w:val="0"/>
      <w:marBottom w:val="0"/>
      <w:divBdr>
        <w:top w:val="none" w:sz="0" w:space="0" w:color="auto"/>
        <w:left w:val="none" w:sz="0" w:space="0" w:color="auto"/>
        <w:bottom w:val="none" w:sz="0" w:space="0" w:color="auto"/>
        <w:right w:val="none" w:sz="0" w:space="0" w:color="auto"/>
      </w:divBdr>
    </w:div>
    <w:div w:id="1985305736">
      <w:bodyDiv w:val="1"/>
      <w:marLeft w:val="0"/>
      <w:marRight w:val="0"/>
      <w:marTop w:val="0"/>
      <w:marBottom w:val="0"/>
      <w:divBdr>
        <w:top w:val="none" w:sz="0" w:space="0" w:color="auto"/>
        <w:left w:val="none" w:sz="0" w:space="0" w:color="auto"/>
        <w:bottom w:val="none" w:sz="0" w:space="0" w:color="auto"/>
        <w:right w:val="none" w:sz="0" w:space="0" w:color="auto"/>
      </w:divBdr>
    </w:div>
    <w:div w:id="199074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CA Group">
      <a:dk1>
        <a:sysClr val="windowText" lastClr="000000"/>
      </a:dk1>
      <a:lt1>
        <a:sysClr val="window" lastClr="FFFFFF"/>
      </a:lt1>
      <a:dk2>
        <a:srgbClr val="00325D"/>
      </a:dk2>
      <a:lt2>
        <a:srgbClr val="E7E6E6"/>
      </a:lt2>
      <a:accent1>
        <a:srgbClr val="006CA9"/>
      </a:accent1>
      <a:accent2>
        <a:srgbClr val="78BF26"/>
      </a:accent2>
      <a:accent3>
        <a:srgbClr val="545860"/>
      </a:accent3>
      <a:accent4>
        <a:srgbClr val="F0B52B"/>
      </a:accent4>
      <a:accent5>
        <a:srgbClr val="00A9EB"/>
      </a:accent5>
      <a:accent6>
        <a:srgbClr val="CE491C"/>
      </a:accent6>
      <a:hlink>
        <a:srgbClr val="00A9EB"/>
      </a:hlink>
      <a:folHlink>
        <a:srgbClr val="712F1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5b09a05-7121-49a4-b0a4-043056da9db5">
      <UserInfo>
        <DisplayName>Alexios Bostantzoglou</DisplayName>
        <AccountId>13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8544080A5AF64C9921FD0483038889" ma:contentTypeVersion="8" ma:contentTypeDescription="Create a new document." ma:contentTypeScope="" ma:versionID="e6769eb040e544a7c1cdec2b099d8789">
  <xsd:schema xmlns:xsd="http://www.w3.org/2001/XMLSchema" xmlns:xs="http://www.w3.org/2001/XMLSchema" xmlns:p="http://schemas.microsoft.com/office/2006/metadata/properties" xmlns:ns2="d5b09a05-7121-49a4-b0a4-043056da9db5" xmlns:ns3="e7fad21c-3c00-496d-9109-dded43ddbbab" targetNamespace="http://schemas.microsoft.com/office/2006/metadata/properties" ma:root="true" ma:fieldsID="b56488dc4bff7623e218e6ecda281aa9" ns2:_="" ns3:_="">
    <xsd:import namespace="d5b09a05-7121-49a4-b0a4-043056da9db5"/>
    <xsd:import namespace="e7fad21c-3c00-496d-9109-dded43ddbb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09a05-7121-49a4-b0a4-043056da9d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ad21c-3c00-496d-9109-dded43ddbb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A20B1-CF22-482B-B96B-E17D402A1B8C}">
  <ds:schemaRefs>
    <ds:schemaRef ds:uri="http://schemas.microsoft.com/office/2006/metadata/properties"/>
    <ds:schemaRef ds:uri="http://schemas.microsoft.com/office/infopath/2007/PartnerControls"/>
    <ds:schemaRef ds:uri="d5b09a05-7121-49a4-b0a4-043056da9db5"/>
  </ds:schemaRefs>
</ds:datastoreItem>
</file>

<file path=customXml/itemProps2.xml><?xml version="1.0" encoding="utf-8"?>
<ds:datastoreItem xmlns:ds="http://schemas.openxmlformats.org/officeDocument/2006/customXml" ds:itemID="{70FFF2FD-271F-4BC9-8052-BC0F22401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09a05-7121-49a4-b0a4-043056da9db5"/>
    <ds:schemaRef ds:uri="e7fad21c-3c00-496d-9109-dded43ddb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AF71FA-6EBD-43F3-84C7-5F4A66B1A94A}">
  <ds:schemaRefs>
    <ds:schemaRef ds:uri="http://schemas.microsoft.com/sharepoint/v3/contenttype/forms"/>
  </ds:schemaRefs>
</ds:datastoreItem>
</file>

<file path=customXml/itemProps4.xml><?xml version="1.0" encoding="utf-8"?>
<ds:datastoreItem xmlns:ds="http://schemas.openxmlformats.org/officeDocument/2006/customXml" ds:itemID="{79CD5B0E-5043-4AF8-B051-ADE1E146ED01}">
  <ds:schemaRefs>
    <ds:schemaRef ds:uri="http://schemas.openxmlformats.org/officeDocument/2006/bibliography"/>
  </ds:schemaRefs>
</ds:datastoreItem>
</file>

<file path=docMetadata/LabelInfo.xml><?xml version="1.0" encoding="utf-8"?>
<clbl:labelList xmlns:clbl="http://schemas.microsoft.com/office/2020/mipLabelMetadata">
  <clbl:label id="{08f18cb5-2b1f-4258-ba62-77bebf17d6f0}" enabled="1" method="Standard" siteId="{60436191-a420-448f-b3e5-9d00da0b2a58}" removed="0"/>
</clbl:labelList>
</file>

<file path=docProps/app.xml><?xml version="1.0" encoding="utf-8"?>
<Properties xmlns="http://schemas.openxmlformats.org/officeDocument/2006/extended-properties" xmlns:vt="http://schemas.openxmlformats.org/officeDocument/2006/docPropsVTypes">
  <Template>Normal</Template>
  <TotalTime>192</TotalTime>
  <Pages>17</Pages>
  <Words>4594</Words>
  <Characters>26190</Characters>
  <Application>Microsoft Office Word</Application>
  <DocSecurity>2</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Prema Thongdok</dc:creator>
  <cp:keywords/>
  <dc:description/>
  <cp:lastModifiedBy>Oliver Palmer</cp:lastModifiedBy>
  <cp:revision>22</cp:revision>
  <dcterms:created xsi:type="dcterms:W3CDTF">2025-05-02T09:27:00Z</dcterms:created>
  <dcterms:modified xsi:type="dcterms:W3CDTF">2026-06-18T15:32:00Z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0x010100F58544080A5AF64C9921FD0483038889</vt:lpwstr>
  </property>
  <property fmtid="{D5CDD505-2E9C-101B-9397-08002B2CF9AE}" pid="3" name="GrammarlyDocumentId">
    <vt:lpwstr>90f9f659c56c9f711301f71eff74365f3cc02f5b9fa07f66f7e940b95d621e85</vt:lpwstr>
  </property>
  <property fmtid="{D5CDD505-2E9C-101B-9397-08002B2CF9AE}" pid="4" name="MediaServiceImageTags">
    <vt:lpwstr/>
  </property>
  <property fmtid="{D5CDD505-2E9C-101B-9397-08002B2CF9AE}" pid="5" name="Order">
    <vt:r8>13255000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ClassificationContentMarkingFooterShapeIds">
    <vt:lpwstr>1,2,3</vt:lpwstr>
  </property>
  <property fmtid="{D5CDD505-2E9C-101B-9397-08002B2CF9AE}" pid="13" name="ClassificationContentMarkingFooterFontProps">
    <vt:lpwstr>#000000,10,Calibri</vt:lpwstr>
  </property>
  <property fmtid="{D5CDD505-2E9C-101B-9397-08002B2CF9AE}" pid="14" name="ClassificationContentMarkingFooterText">
    <vt:lpwstr>Confidential</vt:lpwstr>
  </property>
  <property fmtid="{D5CDD505-2E9C-101B-9397-08002B2CF9AE}" pid="15" name="MSIP_Label_a42aa96a-fbbc-4b5f-aabe-2328a2777cb3_Enabled">
    <vt:lpwstr>true</vt:lpwstr>
  </property>
  <property fmtid="{D5CDD505-2E9C-101B-9397-08002B2CF9AE}" pid="16" name="MSIP_Label_a42aa96a-fbbc-4b5f-aabe-2328a2777cb3_SetDate">
    <vt:lpwstr>2024-04-30T09:49:22Z</vt:lpwstr>
  </property>
  <property fmtid="{D5CDD505-2E9C-101B-9397-08002B2CF9AE}" pid="17" name="MSIP_Label_a42aa96a-fbbc-4b5f-aabe-2328a2777cb3_Method">
    <vt:lpwstr>Privileged</vt:lpwstr>
  </property>
  <property fmtid="{D5CDD505-2E9C-101B-9397-08002B2CF9AE}" pid="18" name="MSIP_Label_a42aa96a-fbbc-4b5f-aabe-2328a2777cb3_Name">
    <vt:lpwstr>Classification - Confidential</vt:lpwstr>
  </property>
  <property fmtid="{D5CDD505-2E9C-101B-9397-08002B2CF9AE}" pid="19" name="MSIP_Label_a42aa96a-fbbc-4b5f-aabe-2328a2777cb3_SiteId">
    <vt:lpwstr>1c7b7e59-27b7-4538-9083-6757584d0420</vt:lpwstr>
  </property>
  <property fmtid="{D5CDD505-2E9C-101B-9397-08002B2CF9AE}" pid="20" name="MSIP_Label_a42aa96a-fbbc-4b5f-aabe-2328a2777cb3_ActionId">
    <vt:lpwstr>56af71d5-1099-4c51-bd20-3a2cd7cdd4d7</vt:lpwstr>
  </property>
  <property fmtid="{D5CDD505-2E9C-101B-9397-08002B2CF9AE}" pid="21" name="MSIP_Label_a42aa96a-fbbc-4b5f-aabe-2328a2777cb3_ContentBits">
    <vt:lpwstr>2</vt:lpwstr>
  </property>
</Properties>
</file>